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BEF8" w14:textId="77777777" w:rsidR="00224E62" w:rsidRPr="00224E62" w:rsidRDefault="00224E62" w:rsidP="00224E62">
      <w:pPr>
        <w:pStyle w:val="ACNormln"/>
        <w:spacing w:before="0"/>
        <w:jc w:val="left"/>
        <w:outlineLvl w:val="0"/>
        <w:rPr>
          <w:rFonts w:asciiTheme="minorHAnsi" w:hAnsiTheme="minorHAnsi" w:cstheme="minorHAnsi"/>
          <w:b/>
          <w:sz w:val="28"/>
          <w:szCs w:val="28"/>
        </w:rPr>
      </w:pPr>
      <w:r>
        <w:rPr>
          <w:rFonts w:asciiTheme="minorHAnsi" w:hAnsiTheme="minorHAnsi" w:cstheme="minorHAnsi"/>
          <w:b/>
          <w:sz w:val="28"/>
          <w:szCs w:val="28"/>
        </w:rPr>
        <w:t>Příloha č. 3 zadávací dokumentace – závazný návrh kupní smlouvy</w:t>
      </w:r>
    </w:p>
    <w:p w14:paraId="4040231C" w14:textId="77777777" w:rsidR="00224E62" w:rsidRDefault="00224E62" w:rsidP="00CD336F">
      <w:pPr>
        <w:pStyle w:val="ACNormln"/>
        <w:spacing w:before="0"/>
        <w:outlineLvl w:val="0"/>
        <w:rPr>
          <w:rFonts w:ascii="Arial" w:hAnsi="Arial" w:cs="Arial"/>
          <w:b/>
          <w:sz w:val="32"/>
          <w:szCs w:val="32"/>
        </w:rPr>
      </w:pPr>
    </w:p>
    <w:p w14:paraId="778FBC0A" w14:textId="382DAEDC"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p>
    <w:p w14:paraId="602DC7CA" w14:textId="77777777"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57566979" w14:textId="77777777" w:rsidR="00420FB8" w:rsidRPr="004A4DDF" w:rsidRDefault="00420FB8" w:rsidP="004A4DDF">
      <w:pPr>
        <w:pStyle w:val="ACNormln"/>
        <w:spacing w:before="0"/>
        <w:jc w:val="center"/>
        <w:outlineLvl w:val="0"/>
        <w:rPr>
          <w:sz w:val="24"/>
        </w:rPr>
      </w:pPr>
    </w:p>
    <w:p w14:paraId="29191FAD" w14:textId="77777777" w:rsidR="005C1633" w:rsidRPr="005C1633" w:rsidRDefault="005C1633" w:rsidP="00C629A2">
      <w:pPr>
        <w:tabs>
          <w:tab w:val="left" w:pos="2268"/>
        </w:tabs>
        <w:autoSpaceDN w:val="0"/>
        <w:spacing w:after="0" w:line="276" w:lineRule="auto"/>
        <w:rPr>
          <w:sz w:val="24"/>
        </w:rPr>
      </w:pPr>
      <w:r w:rsidRPr="005C1633">
        <w:rPr>
          <w:b/>
          <w:sz w:val="24"/>
        </w:rPr>
        <w:t>Nemocnice Pardubického kraje, a.s.</w:t>
      </w:r>
    </w:p>
    <w:p w14:paraId="43E0E5B9" w14:textId="77777777" w:rsidR="005C1633" w:rsidRPr="00AD1C61" w:rsidRDefault="00401355" w:rsidP="00C629A2">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25D9B4B0" w14:textId="77777777" w:rsidR="00401355" w:rsidRPr="00AD1C61" w:rsidRDefault="00401355" w:rsidP="00C629A2">
      <w:pPr>
        <w:tabs>
          <w:tab w:val="left" w:pos="2268"/>
        </w:tabs>
        <w:autoSpaceDN w:val="0"/>
        <w:spacing w:after="0" w:line="276" w:lineRule="auto"/>
      </w:pPr>
      <w:r w:rsidRPr="00AD1C61">
        <w:t>IČO</w:t>
      </w:r>
      <w:r>
        <w:t>:</w:t>
      </w:r>
      <w:r w:rsidRPr="00AD1C61">
        <w:t xml:space="preserve"> </w:t>
      </w:r>
      <w:r>
        <w:tab/>
      </w:r>
      <w:r w:rsidRPr="00AD1C61">
        <w:t>27520536</w:t>
      </w:r>
    </w:p>
    <w:p w14:paraId="2BF58C8B" w14:textId="77777777" w:rsidR="00401355" w:rsidRDefault="00401355" w:rsidP="00C629A2">
      <w:pPr>
        <w:tabs>
          <w:tab w:val="left" w:pos="2268"/>
        </w:tabs>
        <w:autoSpaceDN w:val="0"/>
        <w:spacing w:after="0" w:line="276" w:lineRule="auto"/>
      </w:pPr>
      <w:r w:rsidRPr="00AD1C61">
        <w:t>DIČ</w:t>
      </w:r>
      <w:r>
        <w:t>:</w:t>
      </w:r>
      <w:r w:rsidRPr="00AD1C61">
        <w:t xml:space="preserve"> </w:t>
      </w:r>
      <w:r w:rsidRPr="00AD1C61">
        <w:tab/>
        <w:t>CZ27520536</w:t>
      </w:r>
    </w:p>
    <w:p w14:paraId="061D8AB7" w14:textId="4A09A2A6" w:rsidR="002A665E" w:rsidRPr="009B25BF" w:rsidRDefault="002A665E" w:rsidP="00C629A2">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365F3645" w14:textId="4D3D4443" w:rsidR="002A665E" w:rsidRPr="009B25BF" w:rsidRDefault="002A665E" w:rsidP="00C629A2">
      <w:pPr>
        <w:tabs>
          <w:tab w:val="left" w:pos="2268"/>
        </w:tabs>
        <w:autoSpaceDN w:val="0"/>
        <w:spacing w:after="0" w:line="276" w:lineRule="auto"/>
      </w:pPr>
      <w:r w:rsidRPr="009B25BF">
        <w:t xml:space="preserve">  </w:t>
      </w:r>
      <w:r w:rsidRPr="009B25BF">
        <w:tab/>
      </w:r>
      <w:bookmarkStart w:id="1" w:name="_Hlk4997135"/>
      <w:r w:rsidR="00555F72" w:rsidRPr="00555F72">
        <w:t xml:space="preserve">MUDr. Vladimírem Ningerem, Ph.D., MBA, členem představenstva </w:t>
      </w:r>
      <w:r w:rsidRPr="009B25BF">
        <w:t xml:space="preserve">  </w:t>
      </w:r>
      <w:bookmarkEnd w:id="1"/>
    </w:p>
    <w:p w14:paraId="7DB1B9D9" w14:textId="09E68CFF" w:rsidR="005C1633" w:rsidRDefault="00401355" w:rsidP="00C629A2">
      <w:pPr>
        <w:tabs>
          <w:tab w:val="left" w:pos="2268"/>
        </w:tabs>
        <w:autoSpaceDN w:val="0"/>
        <w:spacing w:after="0" w:line="276" w:lineRule="auto"/>
      </w:pPr>
      <w:r>
        <w:t>Bankovní spojení</w:t>
      </w:r>
      <w:r w:rsidR="005C1633" w:rsidRPr="00AD1C61">
        <w:t xml:space="preserve">: </w:t>
      </w:r>
      <w:r>
        <w:tab/>
      </w:r>
      <w:r w:rsidR="00555F72" w:rsidRPr="00555F72">
        <w:t>Československá obchodní banka, a.s.</w:t>
      </w:r>
    </w:p>
    <w:p w14:paraId="2633B04C" w14:textId="77777777" w:rsidR="005C1633" w:rsidRPr="00AD1C61" w:rsidRDefault="005C1633" w:rsidP="00C629A2">
      <w:pPr>
        <w:tabs>
          <w:tab w:val="left" w:pos="2268"/>
        </w:tabs>
        <w:autoSpaceDN w:val="0"/>
        <w:spacing w:after="0" w:line="276" w:lineRule="auto"/>
      </w:pPr>
      <w:r w:rsidRPr="00AD1C61">
        <w:t>Číslo účtu</w:t>
      </w:r>
      <w:r w:rsidR="00401355">
        <w:t>:</w:t>
      </w:r>
      <w:r w:rsidR="00401355">
        <w:tab/>
      </w:r>
      <w:r w:rsidRPr="00AD1C61">
        <w:t>280123725/0300</w:t>
      </w:r>
    </w:p>
    <w:p w14:paraId="27FF0DD5" w14:textId="77777777" w:rsidR="005C1633" w:rsidRDefault="005C1633" w:rsidP="00C629A2">
      <w:pPr>
        <w:tabs>
          <w:tab w:val="left" w:pos="2268"/>
        </w:tabs>
        <w:autoSpaceDN w:val="0"/>
        <w:spacing w:after="0" w:line="276" w:lineRule="auto"/>
        <w:rPr>
          <w:rFonts w:cs="Arial"/>
        </w:rPr>
      </w:pPr>
      <w:r>
        <w:rPr>
          <w:rFonts w:cs="Arial"/>
        </w:rPr>
        <w:t>Společnost zapsaná v obchodním rejstříku vedeném Krajským soudem v Hradci Králové, oddíl B</w:t>
      </w:r>
      <w:r w:rsidR="00C23FC2">
        <w:rPr>
          <w:rFonts w:cs="Arial"/>
        </w:rPr>
        <w:t>,</w:t>
      </w:r>
      <w:r>
        <w:rPr>
          <w:rFonts w:cs="Arial"/>
        </w:rPr>
        <w:t xml:space="preserve"> vložka 2629,</w:t>
      </w:r>
    </w:p>
    <w:p w14:paraId="7EC25D05" w14:textId="77777777" w:rsidR="00224E62" w:rsidRPr="00AD1C61" w:rsidRDefault="00224E62" w:rsidP="00C629A2">
      <w:pPr>
        <w:tabs>
          <w:tab w:val="left" w:pos="2268"/>
        </w:tabs>
        <w:autoSpaceDN w:val="0"/>
        <w:spacing w:after="0" w:line="276" w:lineRule="auto"/>
      </w:pPr>
      <w:r>
        <w:rPr>
          <w:rFonts w:cs="Arial"/>
        </w:rPr>
        <w:t>ID datové schránky</w:t>
      </w:r>
      <w:r w:rsidR="00DA0C60">
        <w:rPr>
          <w:rFonts w:cs="Arial"/>
        </w:rPr>
        <w:t xml:space="preserve">: </w:t>
      </w:r>
      <w:r w:rsidR="00DA0C60" w:rsidRPr="00DA0C60">
        <w:rPr>
          <w:rFonts w:cs="Arial"/>
        </w:rPr>
        <w:t>eiefkcs</w:t>
      </w:r>
    </w:p>
    <w:p w14:paraId="01779550" w14:textId="77777777" w:rsidR="005C1633" w:rsidRPr="00AD1C61" w:rsidRDefault="005C1633" w:rsidP="00C629A2">
      <w:pPr>
        <w:tabs>
          <w:tab w:val="left" w:pos="2268"/>
        </w:tabs>
        <w:autoSpaceDN w:val="0"/>
        <w:spacing w:line="276"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63A7C15A" w14:textId="77777777" w:rsidR="005C1633" w:rsidRPr="00FD0221" w:rsidRDefault="005C1633" w:rsidP="005C1633">
      <w:pPr>
        <w:tabs>
          <w:tab w:val="left" w:pos="2268"/>
        </w:tabs>
        <w:autoSpaceDN w:val="0"/>
        <w:spacing w:after="0"/>
      </w:pPr>
    </w:p>
    <w:p w14:paraId="35B188BE" w14:textId="77777777" w:rsidR="005C1633" w:rsidRPr="00FD0221" w:rsidRDefault="005C1633" w:rsidP="00224E62">
      <w:pPr>
        <w:tabs>
          <w:tab w:val="left" w:pos="2268"/>
        </w:tabs>
        <w:autoSpaceDN w:val="0"/>
        <w:rPr>
          <w:b/>
        </w:rPr>
      </w:pPr>
      <w:r w:rsidRPr="00FD0221">
        <w:rPr>
          <w:b/>
        </w:rPr>
        <w:t>a</w:t>
      </w:r>
    </w:p>
    <w:p w14:paraId="76D7A74E" w14:textId="77777777" w:rsidR="005C1633" w:rsidRPr="00FD0221" w:rsidRDefault="005C1633" w:rsidP="005C1633">
      <w:pPr>
        <w:tabs>
          <w:tab w:val="left" w:pos="2268"/>
        </w:tabs>
        <w:autoSpaceDN w:val="0"/>
        <w:spacing w:after="0"/>
        <w:ind w:firstLine="2268"/>
      </w:pPr>
    </w:p>
    <w:p w14:paraId="4A3A43B6" w14:textId="17D1436D" w:rsidR="005C1633" w:rsidRPr="00FD0221" w:rsidRDefault="005C1633" w:rsidP="00C629A2">
      <w:pPr>
        <w:tabs>
          <w:tab w:val="left" w:pos="2268"/>
          <w:tab w:val="left" w:pos="2835"/>
          <w:tab w:val="left" w:pos="3828"/>
        </w:tabs>
        <w:autoSpaceDN w:val="0"/>
        <w:spacing w:after="0" w:line="276" w:lineRule="auto"/>
        <w:rPr>
          <w:b/>
        </w:rPr>
      </w:pPr>
      <w:r>
        <w:rPr>
          <w:b/>
        </w:rPr>
        <w:t>Jméno firmy</w:t>
      </w:r>
      <w:r w:rsidR="00555F72">
        <w:rPr>
          <w:b/>
        </w:rPr>
        <w:tab/>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38447802" w14:textId="1BA804EA" w:rsidR="00401355" w:rsidRPr="00AD1C61" w:rsidRDefault="00401355" w:rsidP="00C629A2">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555F72" w:rsidRPr="00555F72">
        <w:rPr>
          <w:iCs/>
        </w:rPr>
        <w:t>…………………………….</w:t>
      </w:r>
      <w:r w:rsidR="00555F72">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35BCA4DE" w14:textId="1D460B84" w:rsidR="00401355" w:rsidRDefault="00401355" w:rsidP="00C629A2">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555F72" w:rsidRPr="00555F72">
        <w:rPr>
          <w:iCs/>
        </w:rPr>
        <w:t>…………………………….</w:t>
      </w:r>
      <w:r w:rsidR="00555F72">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210D9EB5" w14:textId="63BE85CD" w:rsidR="00401355" w:rsidRDefault="00401355" w:rsidP="00C629A2">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555F72" w:rsidRPr="00555F72">
        <w:rPr>
          <w:iCs/>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228E593A" w14:textId="1A92897A" w:rsidR="00401355" w:rsidRPr="00401355" w:rsidRDefault="00401355" w:rsidP="00C629A2">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555F72" w:rsidRPr="00555F72">
        <w:rPr>
          <w:iCs/>
        </w:rPr>
        <w:t>…………………………….</w:t>
      </w:r>
      <w:r w:rsidR="00555F72">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A01C6E2" w14:textId="2166AE2F" w:rsidR="00401355" w:rsidRDefault="00401355" w:rsidP="00C629A2">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555F72" w:rsidRPr="00555F72">
        <w:rPr>
          <w:iCs/>
        </w:rPr>
        <w:t>…………………………….</w:t>
      </w:r>
      <w:r w:rsidR="00555F72">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4137AA83" w14:textId="5956A9EF" w:rsidR="00401355" w:rsidRPr="00AD1C61" w:rsidRDefault="00401355" w:rsidP="00C629A2">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555F72" w:rsidRPr="00555F72">
        <w:rPr>
          <w:iCs/>
        </w:rPr>
        <w:t>…………………………….</w:t>
      </w:r>
      <w:r w:rsidR="00555F72">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F953856" w14:textId="2196C3BA" w:rsidR="005C1633" w:rsidRDefault="005C1633" w:rsidP="00C629A2">
      <w:pPr>
        <w:autoSpaceDN w:val="0"/>
        <w:spacing w:after="0" w:line="276" w:lineRule="auto"/>
        <w:rPr>
          <w:i/>
          <w:color w:val="AEAAAA" w:themeColor="background2" w:themeShade="BF"/>
          <w:highlight w:val="yellow"/>
        </w:rPr>
      </w:pPr>
      <w:r>
        <w:rPr>
          <w:rFonts w:cs="Arial"/>
        </w:rPr>
        <w:t>Společnost zapsaná v obchodním rejstříku vedeném</w:t>
      </w:r>
      <w:r w:rsidR="00555F72">
        <w:rPr>
          <w:rFonts w:cs="Arial"/>
        </w:rPr>
        <w:t xml:space="preserve"> …..</w:t>
      </w:r>
      <w:r w:rsidRPr="00555F72">
        <w:rPr>
          <w:i/>
        </w:rPr>
        <w:t>…</w:t>
      </w:r>
      <w:r w:rsidR="004A4DDF" w:rsidRPr="00555F72">
        <w:rPr>
          <w:i/>
          <w:color w:val="AEAAAA" w:themeColor="background2" w:themeShade="BF"/>
        </w:rPr>
        <w:t xml:space="preserve"> </w:t>
      </w:r>
      <w:r>
        <w:rPr>
          <w:rFonts w:cs="Arial"/>
        </w:rPr>
        <w:t>v </w:t>
      </w:r>
      <w:r w:rsidR="00555F72">
        <w:rPr>
          <w:rFonts w:cs="Arial"/>
        </w:rPr>
        <w:t xml:space="preserve">…….., </w:t>
      </w:r>
      <w:r>
        <w:rPr>
          <w:rFonts w:cs="Arial"/>
        </w:rPr>
        <w:t>oddíl</w:t>
      </w:r>
      <w:r w:rsidR="00555F72">
        <w:rPr>
          <w:rFonts w:cs="Arial"/>
        </w:rPr>
        <w:t>, ………</w:t>
      </w:r>
      <w:r w:rsidR="004A4DDF">
        <w:rPr>
          <w:rFonts w:cs="Arial"/>
          <w:color w:val="AEAAAA" w:themeColor="background2" w:themeShade="BF"/>
        </w:rPr>
        <w:t xml:space="preserve"> </w:t>
      </w:r>
      <w:r>
        <w:rPr>
          <w:rFonts w:cs="Arial"/>
        </w:rPr>
        <w:t xml:space="preserve">vložka </w:t>
      </w:r>
      <w:r w:rsidR="00555F72">
        <w:rPr>
          <w:rFonts w:cs="Arial"/>
        </w:rPr>
        <w:t>…..</w:t>
      </w:r>
      <w:r w:rsidR="004A4DDF" w:rsidRPr="00555F72">
        <w:rPr>
          <w:i/>
        </w:rPr>
        <w:t>…</w:t>
      </w:r>
      <w:r w:rsidR="004A4DDF" w:rsidRPr="00555F72">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Prodávající</w:t>
      </w:r>
    </w:p>
    <w:p w14:paraId="6A9EFF6D" w14:textId="2EF41067" w:rsidR="00224E62" w:rsidRPr="00224E62" w:rsidRDefault="00224E62" w:rsidP="00C629A2">
      <w:pPr>
        <w:autoSpaceDN w:val="0"/>
        <w:spacing w:after="0" w:line="276" w:lineRule="auto"/>
        <w:rPr>
          <w:iCs/>
        </w:rPr>
      </w:pPr>
      <w:r w:rsidRPr="00224E62">
        <w:rPr>
          <w:iCs/>
        </w:rPr>
        <w:t>ID datové schránky:</w:t>
      </w:r>
      <w:r>
        <w:rPr>
          <w:iCs/>
        </w:rPr>
        <w:t xml:space="preserve"> </w:t>
      </w:r>
      <w:r w:rsidR="00555F72" w:rsidRPr="00555F72">
        <w:rPr>
          <w:iCs/>
        </w:rPr>
        <w:t>……………………</w:t>
      </w:r>
      <w:r w:rsidR="00555F72">
        <w:rPr>
          <w:iCs/>
        </w:rPr>
        <w:t xml:space="preserve"> </w:t>
      </w:r>
      <w:r w:rsidRPr="00D94FAC">
        <w:rPr>
          <w:i/>
          <w:color w:val="AEAAAA" w:themeColor="background2" w:themeShade="BF"/>
          <w:highlight w:val="yellow"/>
        </w:rPr>
        <w:t xml:space="preserve">vyplní </w:t>
      </w:r>
      <w:r>
        <w:rPr>
          <w:i/>
          <w:color w:val="AEAAAA" w:themeColor="background2" w:themeShade="BF"/>
          <w:highlight w:val="yellow"/>
        </w:rPr>
        <w:t>Prodávající</w:t>
      </w:r>
    </w:p>
    <w:p w14:paraId="70B9DDAC" w14:textId="77777777" w:rsidR="00420FB8" w:rsidRPr="001171AC" w:rsidRDefault="003007B4" w:rsidP="00C629A2">
      <w:pPr>
        <w:spacing w:line="276" w:lineRule="auto"/>
      </w:pPr>
      <w:r>
        <w:t xml:space="preserve">dále jen </w:t>
      </w:r>
      <w:r w:rsidR="00923C21">
        <w:rPr>
          <w:b/>
        </w:rPr>
        <w:t xml:space="preserve">Prodávající </w:t>
      </w:r>
      <w:r w:rsidR="00420FB8" w:rsidRPr="001171AC">
        <w:t>na straně druhé</w:t>
      </w:r>
    </w:p>
    <w:p w14:paraId="257A10F6" w14:textId="77777777" w:rsidR="00401355" w:rsidRDefault="00401355" w:rsidP="005C1633">
      <w:pPr>
        <w:pStyle w:val="pocrad"/>
        <w:rPr>
          <w:rFonts w:cs="Arial"/>
        </w:rPr>
      </w:pPr>
    </w:p>
    <w:p w14:paraId="56E98269" w14:textId="77777777" w:rsidR="00A23402" w:rsidRPr="00C5230D" w:rsidRDefault="00A23402" w:rsidP="00224E62">
      <w:pPr>
        <w:pStyle w:val="pocrad"/>
        <w:spacing w:line="276" w:lineRule="auto"/>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73CD634" w14:textId="77777777" w:rsidR="00224E62" w:rsidRDefault="00420FB8" w:rsidP="00224E62">
      <w:pPr>
        <w:pStyle w:val="Bezmezer"/>
        <w:spacing w:line="276" w:lineRule="auto"/>
        <w:jc w:val="center"/>
      </w:pPr>
      <w:bookmarkStart w:id="2" w:name="_Hlk508185217"/>
      <w:r w:rsidRPr="003007B4">
        <w:t>uzavírají</w:t>
      </w:r>
      <w:r w:rsidR="00A23402">
        <w:t xml:space="preserve"> </w:t>
      </w:r>
      <w:r w:rsidRPr="003007B4">
        <w:t>níže uvedeného dne, měsíce a roku</w:t>
      </w:r>
      <w:r w:rsidR="00A23402">
        <w:t xml:space="preserve"> </w:t>
      </w:r>
    </w:p>
    <w:p w14:paraId="53F25D7C" w14:textId="77777777" w:rsidR="00224E62" w:rsidRDefault="00420FB8" w:rsidP="00224E62">
      <w:pPr>
        <w:pStyle w:val="Bezmezer"/>
        <w:spacing w:line="276" w:lineRule="auto"/>
        <w:jc w:val="center"/>
      </w:pPr>
      <w:r w:rsidRPr="003007B4">
        <w:t xml:space="preserve">tuto </w:t>
      </w:r>
      <w:r w:rsidR="00B5653B">
        <w:rPr>
          <w:b/>
        </w:rPr>
        <w:t xml:space="preserve">Kupní </w:t>
      </w:r>
      <w:r w:rsidR="00923C21" w:rsidRPr="00923C21">
        <w:rPr>
          <w:b/>
        </w:rPr>
        <w:t>smlouvu</w:t>
      </w:r>
      <w:r w:rsidR="00802B46">
        <w:t xml:space="preserve"> </w:t>
      </w:r>
    </w:p>
    <w:p w14:paraId="13F93AA9" w14:textId="77777777" w:rsidR="003007B4" w:rsidRDefault="00802B46" w:rsidP="00224E62">
      <w:pPr>
        <w:pStyle w:val="Bezmezer"/>
        <w:spacing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2"/>
    </w:p>
    <w:p w14:paraId="5B4C2C5A" w14:textId="77777777" w:rsidR="009305D5" w:rsidRPr="003007B4" w:rsidRDefault="009305D5" w:rsidP="000D1C47">
      <w:pPr>
        <w:pStyle w:val="Bezmezer"/>
      </w:pPr>
    </w:p>
    <w:p w14:paraId="144E5310" w14:textId="6C3B3CC3" w:rsidR="00224E62" w:rsidRPr="009305D5" w:rsidRDefault="00224E62" w:rsidP="00224E62">
      <w:pPr>
        <w:pStyle w:val="Bezmezer"/>
        <w:jc w:val="both"/>
        <w:rPr>
          <w:highlight w:val="cyan"/>
        </w:rPr>
      </w:pPr>
      <w:r>
        <w:t xml:space="preserve">Podkladem pro uzavření této Smlouvy je nabídka vybraného dodavatele předložená </w:t>
      </w:r>
      <w:r w:rsidRPr="00964F90">
        <w:t xml:space="preserve">v rámci zadávacího řízení zadávaného v otevřeném nadlimitním řízení s názvem </w:t>
      </w:r>
      <w:r w:rsidR="00E0436F" w:rsidRPr="00E0436F">
        <w:rPr>
          <w:rFonts w:ascii="Calibri" w:hAnsi="Calibri"/>
          <w:b/>
          <w:bCs/>
        </w:rPr>
        <w:t>Pořízení softwarových produktů firmy Microsoft znovuvyhlášení</w:t>
      </w:r>
      <w:r>
        <w:rPr>
          <w:rFonts w:ascii="Calibri" w:hAnsi="Calibri"/>
          <w:b/>
          <w:bCs/>
        </w:rPr>
        <w:t xml:space="preserve"> </w:t>
      </w:r>
      <w:r w:rsidRPr="00E0436F">
        <w:rPr>
          <w:rFonts w:ascii="Calibri" w:hAnsi="Calibri"/>
        </w:rPr>
        <w:t>(</w:t>
      </w:r>
      <w:r w:rsidRPr="00964F90">
        <w:t xml:space="preserve">dále jen „veřejná zakázka“) </w:t>
      </w:r>
      <w:r w:rsidRPr="00020322">
        <w:t>realizované</w:t>
      </w:r>
      <w:r>
        <w:t>ho</w:t>
      </w:r>
      <w:r w:rsidRPr="00020322">
        <w:t xml:space="preserve"> </w:t>
      </w:r>
      <w:r w:rsidRPr="00964F90">
        <w:t xml:space="preserve">v souladu se zákonem č. 134/2016 Sb., o zadávání veřejných zakázek, v platném znění (dále jen </w:t>
      </w:r>
      <w:r>
        <w:t xml:space="preserve">„zákon“ nebo </w:t>
      </w:r>
      <w:r w:rsidRPr="00964F90">
        <w:t xml:space="preserve">„ZZVZ“).  </w:t>
      </w:r>
      <w:r w:rsidRPr="00967458">
        <w:t>Evidenční číslo zakázky ve věstníku veřejných zakázek ………………. (</w:t>
      </w:r>
      <w:r w:rsidRPr="00671EF3">
        <w:rPr>
          <w:i/>
          <w:iCs/>
        </w:rPr>
        <w:t>bude doplněno před podpisem smlouvy</w:t>
      </w:r>
      <w:r w:rsidRPr="00967458">
        <w:t>)</w:t>
      </w:r>
      <w:r>
        <w:t>.</w:t>
      </w:r>
    </w:p>
    <w:p w14:paraId="1BD5428A" w14:textId="77777777" w:rsidR="00224E62" w:rsidRDefault="00224E62" w:rsidP="00CD336F">
      <w:pPr>
        <w:spacing w:after="0"/>
        <w:rPr>
          <w:lang w:eastAsia="en-US"/>
        </w:rPr>
      </w:pPr>
    </w:p>
    <w:p w14:paraId="5F6664AC" w14:textId="77777777" w:rsidR="00CD336F" w:rsidRDefault="00CD336F" w:rsidP="00224E62">
      <w:pPr>
        <w:rPr>
          <w:lang w:eastAsia="en-US"/>
        </w:rPr>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CD336F" w14:paraId="5380B321"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63111B1" w14:textId="77777777" w:rsidR="00CD336F" w:rsidRPr="0085283D" w:rsidRDefault="00CD336F" w:rsidP="00CD162C">
            <w:pPr>
              <w:spacing w:after="0"/>
              <w:rPr>
                <w:sz w:val="24"/>
              </w:rPr>
            </w:pPr>
            <w:bookmarkStart w:id="3" w:name="_Hlk191450806"/>
            <w:r w:rsidRPr="0085283D">
              <w:rPr>
                <w:rFonts w:ascii="Calibri" w:hAnsi="Calibri" w:cs="Calibri"/>
                <w:b/>
                <w:sz w:val="24"/>
              </w:rPr>
              <w:t>Identifikace projektu</w:t>
            </w:r>
          </w:p>
        </w:tc>
      </w:tr>
      <w:tr w:rsidR="00CD336F" w:rsidRPr="00411094" w14:paraId="354C6873"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0B64CE56" w14:textId="77777777" w:rsidR="00CD336F" w:rsidRPr="005973E8" w:rsidRDefault="00CD336F" w:rsidP="00CD162C">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CD336F" w:rsidRPr="00411094" w14:paraId="15453FA4" w14:textId="77777777" w:rsidTr="00CD162C">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4F4FC7E3" w14:textId="77777777" w:rsidR="00CD336F" w:rsidRPr="005973E8" w:rsidRDefault="00CD336F" w:rsidP="00CD162C">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42B42D93" w14:textId="77777777" w:rsidR="00CD336F" w:rsidRPr="005973E8" w:rsidRDefault="00CD336F" w:rsidP="00CD162C">
            <w:pPr>
              <w:spacing w:after="0"/>
              <w:rPr>
                <w:rFonts w:ascii="Calibri" w:hAnsi="Calibri" w:cs="Calibri"/>
              </w:rPr>
            </w:pPr>
            <w:r>
              <w:rPr>
                <w:rFonts w:ascii="Calibri" w:hAnsi="Calibri" w:cs="Calibri"/>
              </w:rPr>
              <w:t>Národní plán obnovy (NPO)</w:t>
            </w:r>
          </w:p>
        </w:tc>
      </w:tr>
      <w:tr w:rsidR="00CD336F" w:rsidRPr="00BA2188" w14:paraId="2C985D69" w14:textId="77777777" w:rsidTr="00CD162C">
        <w:tc>
          <w:tcPr>
            <w:tcW w:w="2890" w:type="dxa"/>
            <w:tcBorders>
              <w:top w:val="single" w:sz="4" w:space="0" w:color="000000"/>
              <w:left w:val="single" w:sz="4" w:space="0" w:color="000000"/>
              <w:bottom w:val="single" w:sz="4" w:space="0" w:color="000000"/>
            </w:tcBorders>
            <w:vAlign w:val="center"/>
          </w:tcPr>
          <w:p w14:paraId="1CA724E3" w14:textId="77777777" w:rsidR="00CD336F" w:rsidRPr="001611FB" w:rsidRDefault="00CD336F" w:rsidP="00CD162C">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533ED5AE" w14:textId="77777777" w:rsidR="00CD336F" w:rsidRPr="005973E8" w:rsidRDefault="00CD336F" w:rsidP="00CD162C">
            <w:pPr>
              <w:spacing w:after="0"/>
              <w:rPr>
                <w:rFonts w:ascii="Calibri" w:hAnsi="Calibri" w:cs="Calibri"/>
                <w:bCs/>
              </w:rPr>
            </w:pPr>
            <w:r w:rsidRPr="00572F1F">
              <w:rPr>
                <w:rFonts w:ascii="Calibri" w:hAnsi="Calibri" w:cs="Calibri"/>
                <w:bCs/>
              </w:rPr>
              <w:t>NPK, a.s. - Interoperabilita - zavedení a rozvoj služeb elektronického zdravotnictví</w:t>
            </w:r>
          </w:p>
        </w:tc>
      </w:tr>
      <w:tr w:rsidR="00CD336F" w:rsidRPr="00BA2188" w14:paraId="46F42392" w14:textId="77777777" w:rsidTr="00CD162C">
        <w:tc>
          <w:tcPr>
            <w:tcW w:w="2890" w:type="dxa"/>
            <w:tcBorders>
              <w:top w:val="single" w:sz="4" w:space="0" w:color="000000"/>
              <w:left w:val="single" w:sz="4" w:space="0" w:color="000000"/>
              <w:bottom w:val="single" w:sz="4" w:space="0" w:color="000000"/>
            </w:tcBorders>
            <w:vAlign w:val="center"/>
          </w:tcPr>
          <w:p w14:paraId="6C445FE1" w14:textId="77777777" w:rsidR="00CD336F" w:rsidRPr="001611FB" w:rsidRDefault="00CD336F" w:rsidP="00CD162C">
            <w:pPr>
              <w:spacing w:after="0"/>
              <w:rPr>
                <w:rFonts w:ascii="Calibri" w:hAnsi="Calibri" w:cs="Calibri"/>
              </w:rPr>
            </w:pPr>
            <w:r w:rsidRPr="001611FB">
              <w:rPr>
                <w:rFonts w:ascii="Calibri" w:hAnsi="Calibri" w:cs="Calibri"/>
              </w:rPr>
              <w:t>Reg.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161F39AB" w14:textId="77777777" w:rsidR="00CD336F" w:rsidRPr="005973E8" w:rsidRDefault="00CD336F" w:rsidP="00CD162C">
            <w:pPr>
              <w:spacing w:after="0"/>
              <w:rPr>
                <w:rFonts w:ascii="Calibri" w:hAnsi="Calibri" w:cs="Calibri"/>
              </w:rPr>
            </w:pPr>
            <w:r w:rsidRPr="00BD5EE8">
              <w:rPr>
                <w:rFonts w:ascii="Calibri" w:hAnsi="Calibri" w:cs="Calibri"/>
              </w:rPr>
              <w:t>CZ.31.1.0/0.0/0.0/23_088/0011190</w:t>
            </w:r>
          </w:p>
        </w:tc>
      </w:tr>
      <w:tr w:rsidR="00CD336F" w:rsidRPr="001611FB" w14:paraId="4514B796" w14:textId="77777777" w:rsidTr="00CD162C">
        <w:tc>
          <w:tcPr>
            <w:tcW w:w="2890" w:type="dxa"/>
            <w:tcBorders>
              <w:top w:val="single" w:sz="4" w:space="0" w:color="000000"/>
              <w:left w:val="single" w:sz="4" w:space="0" w:color="000000"/>
              <w:bottom w:val="single" w:sz="4" w:space="0" w:color="000000"/>
            </w:tcBorders>
            <w:vAlign w:val="center"/>
          </w:tcPr>
          <w:p w14:paraId="1F0578B3" w14:textId="77777777" w:rsidR="00CD336F" w:rsidRPr="001611FB" w:rsidRDefault="00CD336F" w:rsidP="00CD162C">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2FF42AA5" w14:textId="77777777" w:rsidR="00CD336F" w:rsidRPr="005973E8" w:rsidRDefault="00CD336F" w:rsidP="00CD162C">
            <w:pPr>
              <w:spacing w:after="0"/>
              <w:rPr>
                <w:rFonts w:ascii="Calibri" w:hAnsi="Calibri" w:cs="Calibri"/>
              </w:rPr>
            </w:pPr>
            <w:r w:rsidRPr="00BD5EE8">
              <w:rPr>
                <w:rFonts w:ascii="Calibri" w:hAnsi="Calibri" w:cs="Calibri"/>
              </w:rPr>
              <w:t>č. 22 - Služby elektronického zdravotnictví</w:t>
            </w:r>
          </w:p>
        </w:tc>
      </w:tr>
      <w:tr w:rsidR="00CD336F" w:rsidRPr="006D4F57" w14:paraId="44645CF8" w14:textId="77777777" w:rsidTr="00CD162C">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6D3BF72" w14:textId="77777777" w:rsidR="00CD336F" w:rsidRPr="006D4F57" w:rsidRDefault="00CD336F" w:rsidP="00CD162C">
            <w:pPr>
              <w:spacing w:after="0"/>
              <w:rPr>
                <w:rFonts w:ascii="Calibri" w:hAnsi="Calibri" w:cs="Calibri"/>
                <w:b/>
                <w:bCs/>
              </w:rPr>
            </w:pPr>
            <w:r w:rsidRPr="000A4729">
              <w:rPr>
                <w:rFonts w:ascii="Calibri" w:hAnsi="Calibri" w:cs="Calibri"/>
              </w:rPr>
              <w:t>Projekt „NPK, a.s. - Interoperabilita - zavedení a rozvoj služeb elektronického zdravotnictví“ je financován Evropskou unií - NextGenerationEU.</w:t>
            </w:r>
          </w:p>
        </w:tc>
      </w:tr>
      <w:bookmarkEnd w:id="3"/>
    </w:tbl>
    <w:p w14:paraId="594F66CA" w14:textId="77777777" w:rsidR="00CD336F" w:rsidRDefault="00CD336F" w:rsidP="00CD336F">
      <w:pPr>
        <w:spacing w:after="0"/>
        <w:rPr>
          <w:lang w:eastAsia="en-US"/>
        </w:rPr>
      </w:pPr>
    </w:p>
    <w:tbl>
      <w:tblPr>
        <w:tblW w:w="9749" w:type="dxa"/>
        <w:tblInd w:w="-5" w:type="dxa"/>
        <w:tblLayout w:type="fixed"/>
        <w:tblLook w:val="0000" w:firstRow="0" w:lastRow="0" w:firstColumn="0" w:lastColumn="0" w:noHBand="0" w:noVBand="0"/>
      </w:tblPr>
      <w:tblGrid>
        <w:gridCol w:w="2835"/>
        <w:gridCol w:w="6914"/>
      </w:tblGrid>
      <w:tr w:rsidR="00CD336F" w14:paraId="3B996BDE" w14:textId="77777777" w:rsidTr="00CD162C">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56274546" w14:textId="77777777" w:rsidR="00CD336F" w:rsidRPr="0085283D" w:rsidRDefault="00CD336F" w:rsidP="00CD162C">
            <w:pPr>
              <w:spacing w:after="0"/>
              <w:rPr>
                <w:sz w:val="24"/>
              </w:rPr>
            </w:pPr>
            <w:bookmarkStart w:id="4" w:name="_Hlk191450824"/>
            <w:r w:rsidRPr="0085283D">
              <w:rPr>
                <w:rFonts w:ascii="Calibri" w:hAnsi="Calibri" w:cs="Calibri"/>
                <w:b/>
                <w:sz w:val="24"/>
              </w:rPr>
              <w:t>Identifikace projektu</w:t>
            </w:r>
          </w:p>
        </w:tc>
      </w:tr>
      <w:tr w:rsidR="00CD336F" w:rsidRPr="00411094" w14:paraId="34F136CD" w14:textId="77777777" w:rsidTr="00CD162C">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07CBEA89" w14:textId="77777777" w:rsidR="00CD336F" w:rsidRPr="005973E8" w:rsidRDefault="00CD336F" w:rsidP="00CD162C">
            <w:pPr>
              <w:spacing w:after="0"/>
              <w:rPr>
                <w:rFonts w:ascii="Calibri" w:hAnsi="Calibri" w:cs="Calibri"/>
                <w:b/>
              </w:rPr>
            </w:pPr>
            <w:r w:rsidRPr="000A4729">
              <w:rPr>
                <w:rFonts w:ascii="Calibri" w:hAnsi="Calibri" w:cs="Calibri"/>
              </w:rPr>
              <w:t>Veřejná zakázka je realizována v rámci IROP – elektronizace vybraných služeb veřejné správy – eHealth.</w:t>
            </w:r>
          </w:p>
        </w:tc>
      </w:tr>
      <w:tr w:rsidR="00CD336F" w:rsidRPr="00BA2188" w14:paraId="2A06B465" w14:textId="77777777" w:rsidTr="00CD162C">
        <w:tc>
          <w:tcPr>
            <w:tcW w:w="2835" w:type="dxa"/>
            <w:tcBorders>
              <w:top w:val="single" w:sz="4" w:space="0" w:color="000000"/>
              <w:left w:val="single" w:sz="4" w:space="0" w:color="000000"/>
              <w:bottom w:val="single" w:sz="4" w:space="0" w:color="000000"/>
            </w:tcBorders>
            <w:vAlign w:val="center"/>
          </w:tcPr>
          <w:p w14:paraId="24D036AF" w14:textId="77777777" w:rsidR="00CD336F" w:rsidRPr="001611FB" w:rsidRDefault="00CD336F" w:rsidP="00CD162C">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62CE93BD" w14:textId="77777777" w:rsidR="00CD336F" w:rsidRPr="005973E8" w:rsidRDefault="00CD336F" w:rsidP="00CD162C">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NPK, a.s. - eHealth - rozvoj elektronických služeb v oblasti zdravotnictví</w:t>
            </w:r>
          </w:p>
        </w:tc>
      </w:tr>
      <w:tr w:rsidR="00CD336F" w:rsidRPr="00BA2188" w14:paraId="05E7A61E" w14:textId="77777777" w:rsidTr="00CD162C">
        <w:tc>
          <w:tcPr>
            <w:tcW w:w="2835" w:type="dxa"/>
            <w:tcBorders>
              <w:top w:val="single" w:sz="4" w:space="0" w:color="000000"/>
              <w:left w:val="single" w:sz="4" w:space="0" w:color="000000"/>
              <w:bottom w:val="single" w:sz="4" w:space="0" w:color="000000"/>
            </w:tcBorders>
            <w:vAlign w:val="center"/>
          </w:tcPr>
          <w:p w14:paraId="5E434E65" w14:textId="77777777" w:rsidR="00CD336F" w:rsidRPr="001611FB" w:rsidRDefault="00CD336F" w:rsidP="00CD162C">
            <w:pPr>
              <w:spacing w:after="0"/>
              <w:rPr>
                <w:rFonts w:ascii="Calibri" w:hAnsi="Calibri" w:cs="Calibri"/>
              </w:rPr>
            </w:pPr>
            <w:r w:rsidRPr="001611FB">
              <w:rPr>
                <w:rFonts w:ascii="Calibri" w:hAnsi="Calibri" w:cs="Calibri"/>
              </w:rPr>
              <w:t>Reg.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57237260" w14:textId="77777777" w:rsidR="00CD336F" w:rsidRPr="005973E8" w:rsidRDefault="00CD336F" w:rsidP="00CD162C">
            <w:pPr>
              <w:spacing w:after="0"/>
              <w:rPr>
                <w:rFonts w:ascii="Calibri" w:hAnsi="Calibri" w:cs="Calibri"/>
              </w:rPr>
            </w:pPr>
            <w:r w:rsidRPr="000A4729">
              <w:rPr>
                <w:rFonts w:ascii="Calibri" w:hAnsi="Calibri" w:cs="Calibri"/>
              </w:rPr>
              <w:t>CZ.06.01.01/00/23_078/0006541</w:t>
            </w:r>
          </w:p>
        </w:tc>
      </w:tr>
      <w:tr w:rsidR="00CD336F" w:rsidRPr="001611FB" w14:paraId="5064F38D" w14:textId="77777777" w:rsidTr="00CD162C">
        <w:tc>
          <w:tcPr>
            <w:tcW w:w="2835" w:type="dxa"/>
            <w:tcBorders>
              <w:top w:val="single" w:sz="4" w:space="0" w:color="000000"/>
              <w:left w:val="single" w:sz="4" w:space="0" w:color="000000"/>
              <w:bottom w:val="single" w:sz="4" w:space="0" w:color="000000"/>
            </w:tcBorders>
            <w:vAlign w:val="center"/>
          </w:tcPr>
          <w:p w14:paraId="22DC8D30" w14:textId="77777777" w:rsidR="00CD336F" w:rsidRPr="001611FB" w:rsidRDefault="00CD336F" w:rsidP="00CD162C">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02213E70" w14:textId="77777777" w:rsidR="00CD336F" w:rsidRPr="005973E8" w:rsidRDefault="00CD336F" w:rsidP="00CD162C">
            <w:pPr>
              <w:spacing w:after="0"/>
              <w:rPr>
                <w:rFonts w:ascii="Calibri" w:hAnsi="Calibri" w:cs="Calibri"/>
              </w:rPr>
            </w:pPr>
            <w:r w:rsidRPr="000A4729">
              <w:rPr>
                <w:rFonts w:ascii="Calibri" w:hAnsi="Calibri" w:cs="Calibri"/>
              </w:rPr>
              <w:t>č. 78 IROP – eHEALTH – SC 1.1 (MRR)</w:t>
            </w:r>
          </w:p>
        </w:tc>
      </w:tr>
      <w:tr w:rsidR="00CD336F" w:rsidRPr="006D4F57" w14:paraId="776FB02C" w14:textId="77777777" w:rsidTr="00CD162C">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4BE05026" w14:textId="77777777" w:rsidR="00CD336F" w:rsidRPr="006D4F57" w:rsidRDefault="00CD336F" w:rsidP="00CD162C">
            <w:pPr>
              <w:spacing w:after="0"/>
              <w:rPr>
                <w:rFonts w:ascii="Calibri" w:hAnsi="Calibri" w:cs="Calibri"/>
                <w:b/>
                <w:bCs/>
              </w:rPr>
            </w:pPr>
            <w:r w:rsidRPr="000A4729">
              <w:rPr>
                <w:rFonts w:ascii="Calibri" w:hAnsi="Calibri" w:cs="Calibri"/>
              </w:rPr>
              <w:t>Projekt „NPK, a.s. - eHealth - rozvoj elektronických služeb v oblasti zdravotnictví“ je spolufinancován Evropskou unií.</w:t>
            </w:r>
          </w:p>
        </w:tc>
      </w:tr>
      <w:bookmarkEnd w:id="4"/>
    </w:tbl>
    <w:p w14:paraId="12C6772E" w14:textId="77777777" w:rsidR="00CD336F" w:rsidRDefault="00CD336F" w:rsidP="00224E62">
      <w:pPr>
        <w:rPr>
          <w:lang w:eastAsia="en-US"/>
        </w:rPr>
      </w:pPr>
    </w:p>
    <w:p w14:paraId="62D6E877"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69A10561" w14:textId="77777777" w:rsidR="00D85F96" w:rsidRPr="00990AA2" w:rsidRDefault="00E71EFC" w:rsidP="00E0436F">
      <w:pPr>
        <w:pStyle w:val="Odstavecseseznamem"/>
        <w:numPr>
          <w:ilvl w:val="0"/>
          <w:numId w:val="34"/>
        </w:numPr>
        <w:ind w:left="426" w:hanging="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61584682" w14:textId="77777777" w:rsidR="00E71EFC" w:rsidRPr="00990AA2" w:rsidRDefault="00E71EFC" w:rsidP="00E0436F">
      <w:pPr>
        <w:pStyle w:val="Odstavecseseznamem"/>
        <w:numPr>
          <w:ilvl w:val="0"/>
          <w:numId w:val="34"/>
        </w:numPr>
        <w:ind w:left="426" w:hanging="426"/>
      </w:pPr>
      <w:r w:rsidRPr="00990AA2">
        <w:t>Smluvní strany prohlašují, že osoby jednající za Smluvní strany jsou osoby oprávněné k jednání bez jakéhokoliv omezení daného např. i vnitřním předpisem Smluvní strany.</w:t>
      </w:r>
    </w:p>
    <w:p w14:paraId="1295D520" w14:textId="77777777" w:rsidR="00E71EFC" w:rsidRPr="00990AA2" w:rsidRDefault="00E71EFC" w:rsidP="00E0436F">
      <w:pPr>
        <w:pStyle w:val="Odstavecseseznamem"/>
        <w:numPr>
          <w:ilvl w:val="0"/>
          <w:numId w:val="34"/>
        </w:numPr>
        <w:ind w:left="426" w:hanging="426"/>
      </w:pPr>
      <w:r w:rsidRPr="00990AA2">
        <w:t>Smluvní strany mají zájem uzavřít platnou Smlouvu a žádné Smluvní straně není známa žádná skutečnost bránící jí uzavřít platnou Smlouvu a poskytnout sjednaná plnění.</w:t>
      </w:r>
    </w:p>
    <w:p w14:paraId="191DF5AF" w14:textId="77777777" w:rsidR="00D85F96" w:rsidRPr="00990AA2" w:rsidRDefault="00E71EFC" w:rsidP="00E0436F">
      <w:pPr>
        <w:pStyle w:val="Odstavecseseznamem"/>
        <w:numPr>
          <w:ilvl w:val="0"/>
          <w:numId w:val="34"/>
        </w:numPr>
        <w:ind w:left="426" w:hanging="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w:t>
      </w:r>
      <w:r w:rsidR="00D85F96" w:rsidRPr="00990AA2">
        <w:rPr>
          <w:lang w:eastAsia="en-US"/>
        </w:rPr>
        <w:lastRenderedPageBreak/>
        <w:t>znění pozdějších předpisů</w:t>
      </w:r>
      <w:r w:rsidRPr="00990AA2">
        <w:rPr>
          <w:lang w:eastAsia="en-US"/>
        </w:rPr>
        <w:t>,</w:t>
      </w:r>
      <w:r w:rsidR="00D85F96" w:rsidRPr="00990AA2">
        <w:rPr>
          <w:lang w:eastAsia="en-US"/>
        </w:rPr>
        <w:t xml:space="preserve"> provozovatelem základní služby: Poskytování zdravotních služeb. Informační 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D66F1DF" w14:textId="77777777" w:rsidR="00D85F96" w:rsidRPr="00990AA2" w:rsidRDefault="00D85F96" w:rsidP="00E0436F">
      <w:pPr>
        <w:pStyle w:val="Odstavecseseznamem"/>
        <w:numPr>
          <w:ilvl w:val="0"/>
          <w:numId w:val="34"/>
        </w:numPr>
        <w:spacing w:after="480"/>
        <w:ind w:left="425" w:hanging="425"/>
        <w:contextualSpacing w:val="0"/>
        <w:rPr>
          <w:lang w:eastAsia="en-US"/>
        </w:rPr>
      </w:pPr>
      <w:r w:rsidRPr="00990AA2">
        <w:rPr>
          <w:lang w:eastAsia="en-US"/>
        </w:rPr>
        <w:t>Prodávající bere na vědomí, že vstoupí do smluvního právního vztahu jako „významný dodavatel“ z hlediska bezpečnosti informačního a komunikačního systému. Způsoby a úrovně realizace bezpečnostních opatření pro Prodejce stanoví příloha č. 7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6159D3CC" w14:textId="77777777"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4E1F2681" w14:textId="77777777" w:rsidR="004A1D9D" w:rsidRPr="001B69C6" w:rsidRDefault="0032400D" w:rsidP="00E0436F">
      <w:pPr>
        <w:numPr>
          <w:ilvl w:val="0"/>
          <w:numId w:val="6"/>
        </w:numPr>
        <w:spacing w:after="60" w:line="240" w:lineRule="auto"/>
        <w:ind w:left="426" w:hanging="426"/>
        <w:jc w:val="both"/>
      </w:pPr>
      <w:r w:rsidRPr="001B69C6">
        <w:t xml:space="preserve">Účelem této </w:t>
      </w:r>
      <w:r w:rsidR="00B067C8" w:rsidRPr="001B69C6">
        <w:t>Smlouv</w:t>
      </w:r>
      <w:r w:rsidRPr="001B69C6">
        <w:t xml:space="preserve">y je </w:t>
      </w:r>
      <w:r w:rsidR="00923C21" w:rsidRPr="001B69C6">
        <w:t xml:space="preserve">pořízení </w:t>
      </w:r>
      <w:r w:rsidR="001B69C6" w:rsidRPr="001B69C6">
        <w:t>softwarových licencí produktů f</w:t>
      </w:r>
      <w:r w:rsidR="004C4D84">
        <w:t>irmy</w:t>
      </w:r>
      <w:r w:rsidR="001B69C6" w:rsidRPr="001B69C6">
        <w:t xml:space="preserve"> Microsoft </w:t>
      </w:r>
      <w:r w:rsidR="002527F3" w:rsidRPr="001B69C6">
        <w:t xml:space="preserve">(dále jen </w:t>
      </w:r>
      <w:r w:rsidR="002527F3" w:rsidRPr="001B69C6">
        <w:rPr>
          <w:b/>
        </w:rPr>
        <w:t>předmět koupě</w:t>
      </w:r>
      <w:r w:rsidR="002527F3" w:rsidRPr="001B69C6">
        <w:t>)</w:t>
      </w:r>
      <w:r w:rsidR="003A72C2" w:rsidRPr="001B69C6">
        <w:t>.</w:t>
      </w:r>
    </w:p>
    <w:p w14:paraId="1C150433" w14:textId="77777777" w:rsidR="001140FF" w:rsidRPr="001B69C6"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1B69C6">
        <w:rPr>
          <w:color w:val="2F5496" w:themeColor="accent1" w:themeShade="BF"/>
        </w:rPr>
        <w:t>Předmět</w:t>
      </w:r>
      <w:r w:rsidR="00141482" w:rsidRPr="001B69C6">
        <w:rPr>
          <w:color w:val="2F5496" w:themeColor="accent1" w:themeShade="BF"/>
        </w:rPr>
        <w:t xml:space="preserve"> </w:t>
      </w:r>
      <w:r w:rsidR="00B067C8" w:rsidRPr="001B69C6">
        <w:rPr>
          <w:color w:val="2F5496" w:themeColor="accent1" w:themeShade="BF"/>
        </w:rPr>
        <w:t>Smlouv</w:t>
      </w:r>
      <w:r w:rsidRPr="001B69C6">
        <w:rPr>
          <w:color w:val="2F5496" w:themeColor="accent1" w:themeShade="BF"/>
        </w:rPr>
        <w:t>y</w:t>
      </w:r>
    </w:p>
    <w:p w14:paraId="6D4ECA21" w14:textId="77777777" w:rsidR="002527F3" w:rsidRPr="001B69C6" w:rsidRDefault="002527F3" w:rsidP="00204333">
      <w:pPr>
        <w:numPr>
          <w:ilvl w:val="0"/>
          <w:numId w:val="9"/>
        </w:numPr>
        <w:spacing w:after="60" w:line="240" w:lineRule="auto"/>
        <w:ind w:left="426" w:hanging="426"/>
        <w:jc w:val="both"/>
      </w:pPr>
      <w:bookmarkStart w:id="5" w:name="_Hlk511033376"/>
      <w:r w:rsidRPr="001B69C6">
        <w:t xml:space="preserve">Předmětem této Smlouvy je závazek na straně Prodávajícího odevzdat Kupujícímu předmět koupě </w:t>
      </w:r>
      <w:r w:rsidR="00E55A0F" w:rsidRPr="001B69C6">
        <w:t>a umožnit K</w:t>
      </w:r>
      <w:r w:rsidRPr="001B69C6">
        <w:t xml:space="preserve">upujícímu nabytí vlastnického práva k předmětu koupě a závazek na straně </w:t>
      </w:r>
      <w:r w:rsidR="00E55A0F" w:rsidRPr="001B69C6">
        <w:t>K</w:t>
      </w:r>
      <w:r w:rsidRPr="001B69C6">
        <w:t xml:space="preserve">upujícího tento předmět koupě převzít a zaplatit za něj prodávajícímu </w:t>
      </w:r>
      <w:r w:rsidR="00B5653B" w:rsidRPr="001B69C6">
        <w:t xml:space="preserve">Kupní </w:t>
      </w:r>
      <w:r w:rsidRPr="001B69C6">
        <w:t>cenu.</w:t>
      </w:r>
    </w:p>
    <w:p w14:paraId="02AD3746" w14:textId="77777777" w:rsidR="00600717" w:rsidRPr="001B69C6" w:rsidRDefault="002527F3" w:rsidP="00204333">
      <w:pPr>
        <w:numPr>
          <w:ilvl w:val="0"/>
          <w:numId w:val="9"/>
        </w:numPr>
        <w:spacing w:after="60" w:line="240" w:lineRule="auto"/>
        <w:ind w:left="426" w:hanging="426"/>
        <w:jc w:val="both"/>
      </w:pPr>
      <w:r w:rsidRPr="001B69C6">
        <w:t>Přesná specifikace předmětu koupě</w:t>
      </w:r>
      <w:bookmarkStart w:id="6" w:name="_Hlk510095614"/>
      <w:r w:rsidRPr="001B69C6">
        <w:t xml:space="preserve"> </w:t>
      </w:r>
      <w:bookmarkEnd w:id="6"/>
      <w:r w:rsidR="00600717" w:rsidRPr="001B69C6">
        <w:t>(</w:t>
      </w:r>
      <w:r w:rsidR="001B69C6" w:rsidRPr="001B69C6">
        <w:t>typ a počet softwarových pro každý uvedený produkt</w:t>
      </w:r>
      <w:r w:rsidR="00600717" w:rsidRPr="001B69C6">
        <w:t xml:space="preserve">) </w:t>
      </w:r>
      <w:r w:rsidRPr="001B69C6">
        <w:t xml:space="preserve">je uvedena v Příloze č. 1 – Předmět koupě </w:t>
      </w:r>
      <w:r w:rsidR="00E55A0F" w:rsidRPr="001B69C6">
        <w:t xml:space="preserve">dle </w:t>
      </w:r>
      <w:r w:rsidRPr="001B69C6">
        <w:t>této Smlouvy</w:t>
      </w:r>
      <w:bookmarkEnd w:id="5"/>
      <w:r w:rsidR="001B69C6" w:rsidRPr="001B69C6">
        <w:t>.</w:t>
      </w:r>
    </w:p>
    <w:p w14:paraId="4A2E1F78" w14:textId="77777777" w:rsidR="00587198" w:rsidRPr="001B69C6" w:rsidRDefault="00923C21" w:rsidP="00204333">
      <w:pPr>
        <w:numPr>
          <w:ilvl w:val="0"/>
          <w:numId w:val="9"/>
        </w:numPr>
        <w:spacing w:after="480" w:line="240" w:lineRule="auto"/>
        <w:ind w:left="426" w:hanging="426"/>
        <w:jc w:val="both"/>
        <w:rPr>
          <w:noProof/>
        </w:rPr>
      </w:pPr>
      <w:r w:rsidRPr="001B69C6">
        <w:rPr>
          <w:noProof/>
        </w:rPr>
        <w:t>Kupující</w:t>
      </w:r>
      <w:r w:rsidR="00587198" w:rsidRPr="001B69C6">
        <w:rPr>
          <w:noProof/>
        </w:rPr>
        <w:t xml:space="preserve"> se zavazuje převzít </w:t>
      </w:r>
      <w:r w:rsidR="00E55A0F" w:rsidRPr="001B69C6">
        <w:rPr>
          <w:noProof/>
        </w:rPr>
        <w:t xml:space="preserve">předmět koupě </w:t>
      </w:r>
      <w:r w:rsidR="00587198" w:rsidRPr="001B69C6">
        <w:rPr>
          <w:noProof/>
        </w:rPr>
        <w:t xml:space="preserve">od </w:t>
      </w:r>
      <w:r w:rsidR="00E55A0F" w:rsidRPr="001B69C6">
        <w:rPr>
          <w:noProof/>
        </w:rPr>
        <w:t>Prodávajícího</w:t>
      </w:r>
      <w:r w:rsidR="00587198" w:rsidRPr="001B69C6">
        <w:rPr>
          <w:noProof/>
        </w:rPr>
        <w:t xml:space="preserve"> a zaplatit cenu dle podmínek této </w:t>
      </w:r>
      <w:r w:rsidR="00B067C8" w:rsidRPr="001B69C6">
        <w:rPr>
          <w:noProof/>
        </w:rPr>
        <w:t>Smlouv</w:t>
      </w:r>
      <w:r w:rsidR="00587198" w:rsidRPr="001B69C6">
        <w:rPr>
          <w:noProof/>
        </w:rPr>
        <w:t>y.</w:t>
      </w:r>
    </w:p>
    <w:p w14:paraId="667A0A6C"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72EEBB2E" w14:textId="77777777" w:rsidR="000778E9" w:rsidRPr="000778E9" w:rsidRDefault="002923D5" w:rsidP="00204333">
      <w:pPr>
        <w:numPr>
          <w:ilvl w:val="0"/>
          <w:numId w:val="3"/>
        </w:numPr>
        <w:spacing w:after="60" w:line="240" w:lineRule="auto"/>
        <w:ind w:left="426" w:hanging="426"/>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4B8FCDC5" w14:textId="77777777" w:rsidR="00201B10" w:rsidRPr="00124DB2" w:rsidRDefault="00124DB2" w:rsidP="00204333">
      <w:pPr>
        <w:pStyle w:val="Odstavecseseznamem"/>
        <w:numPr>
          <w:ilvl w:val="0"/>
          <w:numId w:val="7"/>
        </w:numPr>
        <w:spacing w:before="0" w:after="120" w:line="240" w:lineRule="auto"/>
        <w:ind w:left="993" w:hanging="285"/>
        <w:contextualSpacing w:val="0"/>
        <w:rPr>
          <w:rFonts w:ascii="Calibri" w:hAnsi="Calibri"/>
          <w:sz w:val="22"/>
          <w:szCs w:val="22"/>
        </w:rPr>
      </w:pPr>
      <w:r w:rsidRPr="00204333">
        <w:rPr>
          <w:rFonts w:ascii="Calibri" w:hAnsi="Calibri"/>
          <w:b/>
          <w:bCs/>
          <w:sz w:val="22"/>
          <w:szCs w:val="22"/>
        </w:rPr>
        <w:t>Nemocnice Pardubického kraje, a.s.</w:t>
      </w:r>
      <w:r w:rsidR="00201B10" w:rsidRPr="00204333">
        <w:rPr>
          <w:rFonts w:ascii="Calibri" w:hAnsi="Calibri"/>
          <w:b/>
          <w:bCs/>
          <w:sz w:val="22"/>
          <w:szCs w:val="22"/>
        </w:rPr>
        <w:t>, Kyjevská 44, 532</w:t>
      </w:r>
      <w:r w:rsidRPr="00204333">
        <w:rPr>
          <w:rFonts w:ascii="Calibri" w:hAnsi="Calibri"/>
          <w:b/>
          <w:bCs/>
          <w:sz w:val="22"/>
          <w:szCs w:val="22"/>
        </w:rPr>
        <w:t xml:space="preserve"> </w:t>
      </w:r>
      <w:r w:rsidR="00201B10" w:rsidRPr="00204333">
        <w:rPr>
          <w:rFonts w:ascii="Calibri" w:hAnsi="Calibri"/>
          <w:b/>
          <w:bCs/>
          <w:sz w:val="22"/>
          <w:szCs w:val="22"/>
        </w:rPr>
        <w:t>03 Pardubice</w:t>
      </w:r>
      <w:r w:rsidR="001B69C6" w:rsidRPr="00124DB2">
        <w:rPr>
          <w:rFonts w:ascii="Calibri" w:hAnsi="Calibri"/>
          <w:sz w:val="22"/>
          <w:szCs w:val="22"/>
        </w:rPr>
        <w:t>.</w:t>
      </w:r>
    </w:p>
    <w:p w14:paraId="66D5D45B" w14:textId="77777777" w:rsidR="001B69C6" w:rsidRPr="001B69C6" w:rsidRDefault="001B69C6" w:rsidP="00204333">
      <w:pPr>
        <w:numPr>
          <w:ilvl w:val="0"/>
          <w:numId w:val="3"/>
        </w:numPr>
        <w:spacing w:after="480" w:line="240" w:lineRule="auto"/>
        <w:ind w:left="426" w:hanging="426"/>
        <w:jc w:val="both"/>
      </w:pPr>
      <w:r w:rsidRPr="001B69C6">
        <w:t>Společně s předmětem koupě se Prodávající zavazuje předat Kupujícímu doklady nutné k převzetí a užívání předmětu koupě, např. licenční list, licenční smlouvu apod.</w:t>
      </w:r>
    </w:p>
    <w:p w14:paraId="3440A670" w14:textId="77777777"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2F3DE870" w14:textId="77777777" w:rsidR="00E41E4B" w:rsidRPr="00A603E3" w:rsidRDefault="00923C21" w:rsidP="00204333">
      <w:pPr>
        <w:numPr>
          <w:ilvl w:val="0"/>
          <w:numId w:val="8"/>
        </w:numPr>
        <w:spacing w:after="120" w:line="240" w:lineRule="auto"/>
        <w:ind w:left="426" w:hanging="426"/>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AE7EC9">
        <w:rPr>
          <w:b/>
          <w:bCs/>
        </w:rPr>
        <w:t xml:space="preserve">do </w:t>
      </w:r>
      <w:r w:rsidR="001B69C6" w:rsidRPr="00AE7EC9">
        <w:rPr>
          <w:b/>
          <w:bCs/>
        </w:rPr>
        <w:t>3</w:t>
      </w:r>
      <w:r w:rsidR="00351CC7" w:rsidRPr="00AE7EC9">
        <w:rPr>
          <w:b/>
          <w:bCs/>
        </w:rPr>
        <w:t xml:space="preserve"> </w:t>
      </w:r>
      <w:r w:rsidR="008D23CD" w:rsidRPr="00AE7EC9">
        <w:rPr>
          <w:b/>
          <w:bCs/>
        </w:rPr>
        <w:t>týdnů</w:t>
      </w:r>
      <w:r w:rsidR="00351CC7" w:rsidRPr="00A603E3">
        <w:t xml:space="preserve"> </w:t>
      </w:r>
      <w:r w:rsidR="00AE7EC9">
        <w:t>od</w:t>
      </w:r>
      <w:r w:rsidR="00900D1A" w:rsidRPr="008D23CD">
        <w:t xml:space="preserve"> nabytí účinnosti </w:t>
      </w:r>
      <w:r w:rsidR="00B067C8" w:rsidRPr="008D23CD">
        <w:t>Smlouv</w:t>
      </w:r>
      <w:r w:rsidR="008B75AB" w:rsidRPr="008D23CD">
        <w:t>y.</w:t>
      </w:r>
      <w:r w:rsidR="00CF2FCA">
        <w:t xml:space="preserve"> </w:t>
      </w:r>
    </w:p>
    <w:p w14:paraId="750ACAAE"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3A0E65AE" w14:textId="77777777" w:rsidR="00BE12E8" w:rsidRPr="00732482" w:rsidRDefault="00BE12E8" w:rsidP="00204333">
      <w:pPr>
        <w:numPr>
          <w:ilvl w:val="0"/>
          <w:numId w:val="17"/>
        </w:numPr>
        <w:spacing w:after="120" w:line="240" w:lineRule="auto"/>
        <w:ind w:left="426" w:hanging="426"/>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555F9069" w14:textId="77777777" w:rsidR="00BE12E8" w:rsidRPr="006C0D3A" w:rsidRDefault="00BE12E8" w:rsidP="00204333">
      <w:pPr>
        <w:numPr>
          <w:ilvl w:val="0"/>
          <w:numId w:val="17"/>
        </w:numPr>
        <w:spacing w:after="120" w:line="240" w:lineRule="auto"/>
        <w:ind w:left="426" w:hanging="426"/>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4E3401EE" w14:textId="77777777" w:rsidR="00BE12E8" w:rsidRPr="00B92203" w:rsidRDefault="00B5653B" w:rsidP="00204333">
      <w:pPr>
        <w:numPr>
          <w:ilvl w:val="0"/>
          <w:numId w:val="17"/>
        </w:numPr>
        <w:spacing w:after="120" w:line="240" w:lineRule="auto"/>
        <w:ind w:left="426" w:hanging="426"/>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3C3AF5FB" w14:textId="77777777" w:rsidR="00467117" w:rsidRPr="00312DC5" w:rsidRDefault="00467117" w:rsidP="00204333">
      <w:pPr>
        <w:numPr>
          <w:ilvl w:val="0"/>
          <w:numId w:val="17"/>
        </w:numPr>
        <w:spacing w:after="120" w:line="240" w:lineRule="auto"/>
        <w:ind w:left="426" w:hanging="426"/>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CFB74F3" w14:textId="77777777" w:rsidR="00616E4A" w:rsidRPr="00312DC5" w:rsidRDefault="00923C21" w:rsidP="00204333">
      <w:pPr>
        <w:numPr>
          <w:ilvl w:val="0"/>
          <w:numId w:val="17"/>
        </w:numPr>
        <w:spacing w:after="120" w:line="240" w:lineRule="auto"/>
        <w:ind w:left="426" w:hanging="426"/>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15C27528" w14:textId="77777777" w:rsidR="00BE12E8" w:rsidRPr="00312DC5" w:rsidRDefault="00923C21" w:rsidP="00204333">
      <w:pPr>
        <w:numPr>
          <w:ilvl w:val="0"/>
          <w:numId w:val="17"/>
        </w:numPr>
        <w:spacing w:after="120" w:line="240" w:lineRule="auto"/>
        <w:ind w:left="426" w:hanging="426"/>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60154211" w14:textId="77777777" w:rsidR="00F86B86" w:rsidRDefault="00923C21" w:rsidP="00204333">
      <w:pPr>
        <w:numPr>
          <w:ilvl w:val="0"/>
          <w:numId w:val="17"/>
        </w:numPr>
        <w:spacing w:after="120" w:line="240" w:lineRule="auto"/>
        <w:ind w:left="426" w:hanging="426"/>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A946B68" w14:textId="77777777" w:rsidR="00E7147A" w:rsidRPr="006C0D3A" w:rsidRDefault="00E7147A" w:rsidP="00204333">
      <w:pPr>
        <w:numPr>
          <w:ilvl w:val="0"/>
          <w:numId w:val="17"/>
        </w:numPr>
        <w:spacing w:after="120" w:line="240" w:lineRule="auto"/>
        <w:ind w:left="426" w:hanging="426"/>
        <w:jc w:val="both"/>
      </w:pPr>
      <w:r w:rsidRPr="006C0D3A">
        <w:t xml:space="preserve">Daňové doklady budou zasílány elektronickou poštou na emailovou adresu </w:t>
      </w:r>
      <w:r w:rsidR="00923C21">
        <w:t>Kupující</w:t>
      </w:r>
      <w:r w:rsidR="00984F5A">
        <w:t>ho</w:t>
      </w:r>
      <w:r w:rsidRPr="006C0D3A">
        <w:t xml:space="preserve"> </w:t>
      </w:r>
      <w:hyperlink r:id="rId11"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AE93778" w14:textId="77777777" w:rsidR="00E7147A" w:rsidRPr="006C0D3A" w:rsidRDefault="00E7147A" w:rsidP="00204333">
      <w:pPr>
        <w:numPr>
          <w:ilvl w:val="0"/>
          <w:numId w:val="17"/>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0001C366" w14:textId="77777777" w:rsidR="00D53F86" w:rsidRDefault="00923C21" w:rsidP="00204333">
      <w:pPr>
        <w:numPr>
          <w:ilvl w:val="0"/>
          <w:numId w:val="17"/>
        </w:numPr>
        <w:spacing w:after="120" w:line="240" w:lineRule="auto"/>
        <w:ind w:left="426" w:hanging="426"/>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w:t>
      </w:r>
      <w:r w:rsidR="00D53F86" w:rsidRPr="00D53F86">
        <w:lastRenderedPageBreak/>
        <w:t xml:space="preserve">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EB1DA7F" w14:textId="77777777" w:rsidR="00BE12E8" w:rsidRPr="006C0D3A" w:rsidRDefault="00923C21" w:rsidP="00204333">
      <w:pPr>
        <w:numPr>
          <w:ilvl w:val="0"/>
          <w:numId w:val="17"/>
        </w:numPr>
        <w:spacing w:after="120" w:line="240" w:lineRule="auto"/>
        <w:ind w:left="426" w:hanging="426"/>
        <w:jc w:val="both"/>
      </w:pPr>
      <w:r>
        <w:t xml:space="preserve">Prodávající </w:t>
      </w:r>
      <w:r w:rsidR="00BE12E8" w:rsidRPr="006C0D3A">
        <w:t>není oprávněn požadovat jakékoli zálohy.</w:t>
      </w:r>
    </w:p>
    <w:p w14:paraId="68182E0D" w14:textId="77777777" w:rsidR="00BE12E8" w:rsidRPr="00D21076" w:rsidRDefault="00BE12E8" w:rsidP="00204333">
      <w:pPr>
        <w:numPr>
          <w:ilvl w:val="0"/>
          <w:numId w:val="17"/>
        </w:numPr>
        <w:spacing w:after="120" w:line="240" w:lineRule="auto"/>
        <w:ind w:left="426" w:hanging="426"/>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02AB905A" w14:textId="77777777" w:rsidR="00BE12E8" w:rsidRDefault="00BE12E8" w:rsidP="00204333">
      <w:pPr>
        <w:numPr>
          <w:ilvl w:val="0"/>
          <w:numId w:val="17"/>
        </w:numPr>
        <w:spacing w:after="120" w:line="240" w:lineRule="auto"/>
        <w:ind w:left="426" w:hanging="426"/>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7084BAF3" w14:textId="77777777" w:rsidR="00C2498D" w:rsidRDefault="00C2498D" w:rsidP="00204333">
      <w:pPr>
        <w:numPr>
          <w:ilvl w:val="0"/>
          <w:numId w:val="17"/>
        </w:numPr>
        <w:spacing w:after="0" w:line="276" w:lineRule="auto"/>
        <w:ind w:left="426" w:hanging="426"/>
        <w:jc w:val="both"/>
      </w:pPr>
      <w:r w:rsidRPr="000B34C3">
        <w:t xml:space="preserve">Daňový doklad (faktura) bude obsahovat identifikační číslo příslušného projektu a jeho název: </w:t>
      </w:r>
    </w:p>
    <w:p w14:paraId="2F04F3CA" w14:textId="77777777" w:rsidR="00C2498D" w:rsidRPr="00310761" w:rsidRDefault="00C2498D" w:rsidP="00A36AF2">
      <w:pPr>
        <w:pStyle w:val="Odstavecseseznamem"/>
        <w:numPr>
          <w:ilvl w:val="0"/>
          <w:numId w:val="39"/>
        </w:numPr>
        <w:spacing w:after="0"/>
        <w:ind w:left="1134" w:hanging="417"/>
        <w:rPr>
          <w:sz w:val="22"/>
          <w:szCs w:val="22"/>
        </w:rPr>
      </w:pPr>
      <w:r w:rsidRPr="00310761">
        <w:rPr>
          <w:sz w:val="22"/>
          <w:szCs w:val="22"/>
        </w:rPr>
        <w:t xml:space="preserve">NPK, a.s. - Interoperabilita - zavedení a rozvoj služeb elektronického zdravotnictví, </w:t>
      </w:r>
    </w:p>
    <w:p w14:paraId="6C095B6E" w14:textId="77777777" w:rsidR="00C2498D" w:rsidRPr="00310761" w:rsidRDefault="00C2498D" w:rsidP="00C2498D">
      <w:pPr>
        <w:tabs>
          <w:tab w:val="left" w:pos="1134"/>
        </w:tabs>
        <w:spacing w:after="0" w:line="276" w:lineRule="auto"/>
        <w:ind w:left="357"/>
      </w:pPr>
      <w:r w:rsidRPr="00310761">
        <w:tab/>
        <w:t>reg. č. CZ.31.1.0/0.0/0.0/23_088/0011190 a zároveň „P24_08“,</w:t>
      </w:r>
    </w:p>
    <w:p w14:paraId="3E057D01" w14:textId="77777777" w:rsidR="00C2498D" w:rsidRPr="00310761" w:rsidRDefault="00C2498D" w:rsidP="00A36AF2">
      <w:pPr>
        <w:pStyle w:val="Odstavecseseznamem"/>
        <w:numPr>
          <w:ilvl w:val="0"/>
          <w:numId w:val="39"/>
        </w:numPr>
        <w:spacing w:after="0"/>
        <w:ind w:left="1134" w:hanging="417"/>
        <w:rPr>
          <w:sz w:val="22"/>
          <w:szCs w:val="22"/>
        </w:rPr>
      </w:pPr>
      <w:r w:rsidRPr="00310761">
        <w:rPr>
          <w:sz w:val="22"/>
          <w:szCs w:val="22"/>
        </w:rPr>
        <w:t xml:space="preserve">NPK, a.s. - eHealth - rozvoj elektronických služeb v oblasti zdravotnictví, </w:t>
      </w:r>
    </w:p>
    <w:p w14:paraId="408C27EE" w14:textId="135A1829" w:rsidR="00C2498D" w:rsidRDefault="00C2498D" w:rsidP="00C2498D">
      <w:pPr>
        <w:tabs>
          <w:tab w:val="left" w:pos="1134"/>
        </w:tabs>
        <w:spacing w:after="480" w:line="240" w:lineRule="auto"/>
        <w:ind w:left="357"/>
        <w:jc w:val="both"/>
      </w:pPr>
      <w:r>
        <w:tab/>
      </w:r>
      <w:r w:rsidRPr="00310761">
        <w:t>reg. č. CZ.06.01.01/00/23_078/0006541 a zároveň „P24_09“.</w:t>
      </w:r>
    </w:p>
    <w:p w14:paraId="0ACD8831" w14:textId="77777777"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9EE7BD3" w14:textId="77777777" w:rsidR="00E7147A" w:rsidRPr="00D85F96" w:rsidRDefault="00923C21" w:rsidP="00204333">
      <w:pPr>
        <w:numPr>
          <w:ilvl w:val="0"/>
          <w:numId w:val="18"/>
        </w:numPr>
        <w:spacing w:after="120" w:line="240" w:lineRule="auto"/>
        <w:ind w:left="426" w:hanging="426"/>
        <w:jc w:val="both"/>
      </w:pPr>
      <w:bookmarkStart w:id="7"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1B69C6">
        <w:rPr>
          <w:b/>
        </w:rPr>
        <w:t>5</w:t>
      </w:r>
      <w:r w:rsidR="00E7147A" w:rsidRPr="00D85F96">
        <w:rPr>
          <w:b/>
        </w:rPr>
        <w:t xml:space="preserve"> – Zodpovědné osoby.</w:t>
      </w:r>
    </w:p>
    <w:bookmarkEnd w:id="7"/>
    <w:p w14:paraId="1D1104B8" w14:textId="77777777" w:rsidR="00D85EED" w:rsidRPr="00D85F96" w:rsidRDefault="00E44C54"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vlastnického práva k</w:t>
      </w:r>
      <w:r w:rsidR="00D85EED" w:rsidRPr="00D85F96">
        <w:rPr>
          <w:sz w:val="22"/>
          <w:szCs w:val="22"/>
        </w:rPr>
        <w:t xml:space="preserve"> 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30EEBE78" w14:textId="77777777" w:rsidR="00480FF6" w:rsidRPr="00D85F96" w:rsidRDefault="00923C21"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20DDA4F" w14:textId="77777777" w:rsidR="00D97E59" w:rsidRPr="00D85F96" w:rsidRDefault="00923C21"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787CE4EF" w14:textId="77777777" w:rsidR="00BE12E8" w:rsidRPr="00D85F96" w:rsidRDefault="00BE12E8"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Dodávky, práce a služby, které jsou předmětem této </w:t>
      </w:r>
      <w:r w:rsidR="00B067C8" w:rsidRPr="00D85F96">
        <w:rPr>
          <w:sz w:val="22"/>
          <w:szCs w:val="22"/>
        </w:rPr>
        <w:t>Smlouv</w:t>
      </w:r>
      <w:r w:rsidRPr="00D85F96">
        <w:rPr>
          <w:sz w:val="22"/>
          <w:szCs w:val="22"/>
        </w:rPr>
        <w:t xml:space="preserve">y </w:t>
      </w:r>
      <w:r w:rsidR="00923C21" w:rsidRPr="00D85F96">
        <w:rPr>
          <w:sz w:val="22"/>
          <w:szCs w:val="22"/>
        </w:rPr>
        <w:t xml:space="preserve">Prodávající </w:t>
      </w:r>
      <w:r w:rsidRPr="00D85F96">
        <w:rPr>
          <w:sz w:val="22"/>
          <w:szCs w:val="22"/>
        </w:rPr>
        <w:t xml:space="preserve">dodá nebo provede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6A6795AA" w14:textId="77777777" w:rsidR="00BE12E8" w:rsidRPr="00D85F96" w:rsidRDefault="00923C21"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22E589E1" w14:textId="77777777" w:rsidR="00BE12E8" w:rsidRPr="00D85F96" w:rsidRDefault="00BE12E8"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5AE73E86" w14:textId="77777777" w:rsidR="00BE12E8" w:rsidRPr="00D85F96" w:rsidRDefault="00923C21" w:rsidP="00204333">
      <w:pPr>
        <w:pStyle w:val="Odstavecseseznamem"/>
        <w:numPr>
          <w:ilvl w:val="0"/>
          <w:numId w:val="18"/>
        </w:numPr>
        <w:spacing w:before="0" w:after="120"/>
        <w:ind w:left="426" w:hanging="426"/>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745686F3" w14:textId="77777777" w:rsidR="00E44C54" w:rsidRPr="00D85F96" w:rsidRDefault="00923C21" w:rsidP="00204333">
      <w:pPr>
        <w:pStyle w:val="Odstavecseseznamem"/>
        <w:numPr>
          <w:ilvl w:val="0"/>
          <w:numId w:val="18"/>
        </w:numPr>
        <w:spacing w:before="0" w:after="120"/>
        <w:ind w:left="426" w:hanging="426"/>
        <w:contextualSpacing w:val="0"/>
        <w:rPr>
          <w:iCs/>
          <w:sz w:val="22"/>
          <w:szCs w:val="22"/>
        </w:rPr>
      </w:pPr>
      <w:r w:rsidRPr="00D85F96">
        <w:rPr>
          <w:iCs/>
          <w:sz w:val="22"/>
          <w:szCs w:val="22"/>
        </w:rPr>
        <w:lastRenderedPageBreak/>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3684042D" w14:textId="77777777" w:rsidR="00BE12E8" w:rsidRPr="00D85F96" w:rsidRDefault="00923C21" w:rsidP="00204333">
      <w:pPr>
        <w:pStyle w:val="Odstavecseseznamem"/>
        <w:numPr>
          <w:ilvl w:val="0"/>
          <w:numId w:val="18"/>
        </w:numPr>
        <w:spacing w:before="0" w:after="120"/>
        <w:ind w:left="426" w:hanging="426"/>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01A0FB68" w14:textId="77777777" w:rsidR="00BE12E8" w:rsidRPr="00D85F96" w:rsidRDefault="00923C21" w:rsidP="00204333">
      <w:pPr>
        <w:pStyle w:val="Odstavecseseznamem"/>
        <w:numPr>
          <w:ilvl w:val="0"/>
          <w:numId w:val="18"/>
        </w:numPr>
        <w:tabs>
          <w:tab w:val="left" w:pos="0"/>
        </w:tabs>
        <w:spacing w:before="0" w:after="120"/>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17D97C15" w14:textId="77777777" w:rsidR="00BE12E8" w:rsidRDefault="00BE12E8" w:rsidP="00531B35">
      <w:pPr>
        <w:pStyle w:val="Odstavecseseznamem"/>
        <w:numPr>
          <w:ilvl w:val="0"/>
          <w:numId w:val="18"/>
        </w:numPr>
        <w:tabs>
          <w:tab w:val="left" w:pos="0"/>
        </w:tabs>
        <w:spacing w:before="0" w:after="120"/>
        <w:ind w:left="425" w:hanging="425"/>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0A0C7961" w14:textId="77777777" w:rsidR="00531B35" w:rsidRPr="00531B35" w:rsidRDefault="00531B35" w:rsidP="00531B35">
      <w:pPr>
        <w:pStyle w:val="Odstavecseseznamem"/>
        <w:numPr>
          <w:ilvl w:val="0"/>
          <w:numId w:val="18"/>
        </w:numPr>
        <w:tabs>
          <w:tab w:val="left" w:pos="0"/>
        </w:tabs>
        <w:spacing w:after="120"/>
        <w:ind w:left="425" w:hanging="425"/>
        <w:contextualSpacing w:val="0"/>
        <w:rPr>
          <w:sz w:val="22"/>
          <w:szCs w:val="22"/>
        </w:rPr>
      </w:pPr>
      <w:r w:rsidRPr="00531B35">
        <w:rPr>
          <w:sz w:val="22"/>
          <w:szCs w:val="22"/>
        </w:rPr>
        <w:t xml:space="preserve">Dodávka nebo její část </w:t>
      </w:r>
      <w:r w:rsidRPr="00531B35">
        <w:rPr>
          <w:sz w:val="22"/>
          <w:szCs w:val="22"/>
          <w:highlight w:val="yellow"/>
        </w:rPr>
        <w:t>bude/nebude</w:t>
      </w:r>
      <w:r w:rsidRPr="00531B35">
        <w:rPr>
          <w:sz w:val="22"/>
          <w:szCs w:val="22"/>
        </w:rPr>
        <w:t xml:space="preserve"> plněna formou poddodávky.</w:t>
      </w:r>
    </w:p>
    <w:p w14:paraId="1B993E61" w14:textId="7D3D1594" w:rsidR="00531B35" w:rsidRPr="00531B35" w:rsidRDefault="00531B35" w:rsidP="00531B35">
      <w:pPr>
        <w:pStyle w:val="Odstavecseseznamem"/>
        <w:tabs>
          <w:tab w:val="left" w:pos="0"/>
        </w:tabs>
        <w:spacing w:after="480"/>
        <w:ind w:left="426"/>
        <w:rPr>
          <w:i/>
          <w:iCs/>
          <w:sz w:val="22"/>
          <w:szCs w:val="22"/>
        </w:rPr>
      </w:pPr>
      <w:r w:rsidRPr="00531B35">
        <w:rPr>
          <w:i/>
          <w:iCs/>
          <w:sz w:val="22"/>
          <w:szCs w:val="22"/>
        </w:rPr>
        <w:t xml:space="preserve">Pokud bude část dodávky zboží dle této smlouvy plněna formou poddodávky, </w:t>
      </w:r>
      <w:r w:rsidR="003B346C">
        <w:rPr>
          <w:i/>
          <w:iCs/>
          <w:sz w:val="22"/>
          <w:szCs w:val="22"/>
        </w:rPr>
        <w:t>P</w:t>
      </w:r>
      <w:r w:rsidRPr="00531B35">
        <w:rPr>
          <w:i/>
          <w:iCs/>
          <w:sz w:val="22"/>
          <w:szCs w:val="22"/>
        </w:rPr>
        <w:t>rodávající závazně uvádí identifikační údaje dotčeného poddodavatele a specifikaci části dodávky zboží, která bude plněna formou poddodávky:</w:t>
      </w:r>
    </w:p>
    <w:p w14:paraId="60FAD54B" w14:textId="49658319" w:rsidR="00531B35" w:rsidRPr="00531B35" w:rsidRDefault="00531B35" w:rsidP="00531B35">
      <w:pPr>
        <w:pStyle w:val="Odstavecseseznamem"/>
        <w:tabs>
          <w:tab w:val="left" w:pos="0"/>
        </w:tabs>
        <w:spacing w:after="480"/>
        <w:ind w:left="426"/>
        <w:rPr>
          <w:i/>
          <w:iCs/>
          <w:sz w:val="22"/>
          <w:szCs w:val="22"/>
        </w:rPr>
      </w:pPr>
      <w:r w:rsidRPr="00531B35">
        <w:rPr>
          <w:i/>
          <w:iCs/>
          <w:sz w:val="22"/>
          <w:szCs w:val="22"/>
        </w:rPr>
        <w:t>……………………………………………………………………………………………………………………………………………………</w:t>
      </w:r>
      <w:r>
        <w:rPr>
          <w:i/>
          <w:iCs/>
          <w:sz w:val="22"/>
          <w:szCs w:val="22"/>
        </w:rPr>
        <w:t>…….</w:t>
      </w:r>
      <w:r w:rsidR="003B346C">
        <w:rPr>
          <w:i/>
          <w:iCs/>
          <w:sz w:val="22"/>
          <w:szCs w:val="22"/>
        </w:rPr>
        <w:t>.</w:t>
      </w:r>
      <w:r w:rsidRPr="00531B35">
        <w:rPr>
          <w:i/>
          <w:iCs/>
          <w:sz w:val="22"/>
          <w:szCs w:val="22"/>
        </w:rPr>
        <w:t>.</w:t>
      </w:r>
    </w:p>
    <w:p w14:paraId="6A96849F" w14:textId="0DC9EAD7" w:rsidR="00531B35" w:rsidRPr="00531B35" w:rsidRDefault="00531B35" w:rsidP="00531B35">
      <w:pPr>
        <w:pStyle w:val="Odstavecseseznamem"/>
        <w:tabs>
          <w:tab w:val="left" w:pos="0"/>
        </w:tabs>
        <w:spacing w:before="0" w:after="480"/>
        <w:ind w:left="426"/>
        <w:contextualSpacing w:val="0"/>
        <w:rPr>
          <w:i/>
          <w:iCs/>
          <w:sz w:val="22"/>
          <w:szCs w:val="22"/>
        </w:rPr>
      </w:pPr>
      <w:r w:rsidRPr="00531B35">
        <w:rPr>
          <w:i/>
          <w:iCs/>
          <w:sz w:val="22"/>
          <w:szCs w:val="22"/>
        </w:rPr>
        <w:t xml:space="preserve">Případná změna poddodavatele dle této smlouvy podléhá předchozímu písemnému souhlasu ze strany </w:t>
      </w:r>
      <w:r w:rsidR="000E0C84">
        <w:rPr>
          <w:i/>
          <w:iCs/>
          <w:sz w:val="22"/>
          <w:szCs w:val="22"/>
        </w:rPr>
        <w:t>K</w:t>
      </w:r>
      <w:r w:rsidRPr="00531B35">
        <w:rPr>
          <w:i/>
          <w:iCs/>
          <w:sz w:val="22"/>
          <w:szCs w:val="22"/>
        </w:rPr>
        <w:t>upujícího.</w:t>
      </w:r>
    </w:p>
    <w:p w14:paraId="0D79E70F" w14:textId="77777777"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18A1D69F" w14:textId="77777777" w:rsidR="00BE12E8" w:rsidRPr="00D21076" w:rsidRDefault="00BE12E8" w:rsidP="00204333">
      <w:pPr>
        <w:numPr>
          <w:ilvl w:val="0"/>
          <w:numId w:val="10"/>
        </w:numPr>
        <w:spacing w:after="120" w:line="240" w:lineRule="auto"/>
        <w:ind w:left="426" w:hanging="426"/>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13B35B62" w14:textId="77777777" w:rsidR="00BE12E8" w:rsidRDefault="00D85EED" w:rsidP="00204333">
      <w:pPr>
        <w:numPr>
          <w:ilvl w:val="0"/>
          <w:numId w:val="10"/>
        </w:numPr>
        <w:spacing w:after="120" w:line="240" w:lineRule="auto"/>
        <w:ind w:left="426" w:hanging="426"/>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w:t>
      </w:r>
    </w:p>
    <w:p w14:paraId="62C5709D" w14:textId="77777777" w:rsidR="00613308" w:rsidRPr="00AE7EC9" w:rsidRDefault="0088513B" w:rsidP="00204333">
      <w:pPr>
        <w:numPr>
          <w:ilvl w:val="0"/>
          <w:numId w:val="10"/>
        </w:numPr>
        <w:spacing w:after="120" w:line="240" w:lineRule="auto"/>
        <w:ind w:left="426" w:hanging="426"/>
        <w:jc w:val="both"/>
      </w:pPr>
      <w:r w:rsidRPr="00AE7EC9">
        <w:t xml:space="preserve">Protokolárním předáním </w:t>
      </w:r>
      <w:r w:rsidR="00380D3B" w:rsidRPr="00AE7EC9">
        <w:t xml:space="preserve">předmětu koupě </w:t>
      </w:r>
      <w:r w:rsidRPr="00AE7EC9">
        <w:t>se rozumí</w:t>
      </w:r>
      <w:r w:rsidR="00613308" w:rsidRPr="00AE7EC9">
        <w:t>:</w:t>
      </w:r>
    </w:p>
    <w:p w14:paraId="4B7E2D75" w14:textId="77777777" w:rsidR="00467117" w:rsidRPr="00AE7EC9" w:rsidRDefault="0088513B" w:rsidP="00A36AF2">
      <w:pPr>
        <w:pStyle w:val="Odstavecseseznamem"/>
        <w:numPr>
          <w:ilvl w:val="0"/>
          <w:numId w:val="15"/>
        </w:numPr>
        <w:ind w:left="993" w:hanging="285"/>
        <w:rPr>
          <w:sz w:val="22"/>
          <w:szCs w:val="22"/>
        </w:rPr>
      </w:pPr>
      <w:r w:rsidRPr="00AE7EC9">
        <w:rPr>
          <w:sz w:val="22"/>
          <w:szCs w:val="22"/>
        </w:rPr>
        <w:t>stvrzen</w:t>
      </w:r>
      <w:r w:rsidR="00613308" w:rsidRPr="00AE7EC9">
        <w:rPr>
          <w:sz w:val="22"/>
          <w:szCs w:val="22"/>
        </w:rPr>
        <w:t>í</w:t>
      </w:r>
      <w:r w:rsidRPr="00AE7EC9">
        <w:rPr>
          <w:sz w:val="22"/>
          <w:szCs w:val="22"/>
        </w:rPr>
        <w:t xml:space="preserve"> převzetí </w:t>
      </w:r>
      <w:r w:rsidR="00C95320" w:rsidRPr="00AE7EC9">
        <w:rPr>
          <w:sz w:val="22"/>
          <w:szCs w:val="22"/>
        </w:rPr>
        <w:t xml:space="preserve">předmětu koupě </w:t>
      </w:r>
      <w:r w:rsidR="00C95320" w:rsidRPr="00AE7EC9">
        <w:rPr>
          <w:b/>
          <w:sz w:val="22"/>
          <w:szCs w:val="22"/>
        </w:rPr>
        <w:t xml:space="preserve">dodacím listem </w:t>
      </w:r>
      <w:r w:rsidR="00782E47" w:rsidRPr="00AE7EC9">
        <w:rPr>
          <w:sz w:val="22"/>
          <w:szCs w:val="22"/>
        </w:rPr>
        <w:t>podepsaným oběma Smluvními stranami</w:t>
      </w:r>
      <w:r w:rsidRPr="00AE7EC9">
        <w:rPr>
          <w:sz w:val="22"/>
          <w:szCs w:val="22"/>
        </w:rPr>
        <w:t xml:space="preserve">. </w:t>
      </w:r>
    </w:p>
    <w:p w14:paraId="42A2D1BF" w14:textId="77777777" w:rsidR="00613308" w:rsidRPr="00AE7EC9" w:rsidRDefault="0084327C" w:rsidP="0084327C">
      <w:pPr>
        <w:spacing w:before="120" w:after="120" w:line="240" w:lineRule="auto"/>
        <w:ind w:left="708"/>
        <w:jc w:val="both"/>
      </w:pPr>
      <w:r w:rsidRPr="00AE7EC9">
        <w:rPr>
          <w:b/>
        </w:rPr>
        <w:t>D</w:t>
      </w:r>
      <w:r w:rsidR="00C95320" w:rsidRPr="00AE7EC9">
        <w:rPr>
          <w:b/>
        </w:rPr>
        <w:t xml:space="preserve">odacím listem </w:t>
      </w:r>
      <w:r w:rsidR="00613308" w:rsidRPr="00AE7EC9">
        <w:rPr>
          <w:rFonts w:cs="Arial"/>
        </w:rPr>
        <w:t>se rozumí</w:t>
      </w:r>
      <w:r w:rsidRPr="00AE7EC9">
        <w:rPr>
          <w:rFonts w:cs="Arial"/>
        </w:rPr>
        <w:t xml:space="preserve"> </w:t>
      </w:r>
      <w:r w:rsidR="00613308" w:rsidRPr="00AE7EC9">
        <w:t xml:space="preserve">signovaný doklad vyhotovený </w:t>
      </w:r>
      <w:r w:rsidR="00984F5A" w:rsidRPr="00AE7EC9">
        <w:t>Prodávajícím</w:t>
      </w:r>
      <w:r w:rsidR="00613308" w:rsidRPr="00AE7EC9">
        <w:t xml:space="preserve"> o </w:t>
      </w:r>
      <w:r w:rsidR="00C95320" w:rsidRPr="00AE7EC9">
        <w:t>předání předmětu koupě. Si</w:t>
      </w:r>
      <w:r w:rsidR="00613308" w:rsidRPr="00AE7EC9">
        <w:t xml:space="preserve">gnace je prováděna odpovědnými pracovníky </w:t>
      </w:r>
      <w:r w:rsidR="00C65DF2" w:rsidRPr="00AE7EC9">
        <w:t>Prodávajícího</w:t>
      </w:r>
      <w:r w:rsidR="00613308" w:rsidRPr="00AE7EC9">
        <w:t xml:space="preserve"> i </w:t>
      </w:r>
      <w:r w:rsidR="00923C21" w:rsidRPr="00AE7EC9">
        <w:t>Kupující</w:t>
      </w:r>
      <w:r w:rsidR="00C95320" w:rsidRPr="00AE7EC9">
        <w:t>ho</w:t>
      </w:r>
      <w:r w:rsidR="00613308" w:rsidRPr="00AE7EC9">
        <w:t xml:space="preserve"> </w:t>
      </w:r>
      <w:bookmarkStart w:id="8" w:name="_Hlk507482933"/>
      <w:r w:rsidR="00613308" w:rsidRPr="00AE7EC9">
        <w:t xml:space="preserve">dle odst. 2 článku 7 této </w:t>
      </w:r>
      <w:r w:rsidR="00B067C8" w:rsidRPr="00AE7EC9">
        <w:t>Smlouv</w:t>
      </w:r>
      <w:r w:rsidR="00613308" w:rsidRPr="00AE7EC9">
        <w:t>y.</w:t>
      </w:r>
      <w:bookmarkEnd w:id="8"/>
    </w:p>
    <w:p w14:paraId="7B5569F8" w14:textId="77777777" w:rsidR="00467117" w:rsidRPr="00AE7EC9" w:rsidRDefault="00C95320" w:rsidP="00204333">
      <w:pPr>
        <w:pStyle w:val="Odstavecseseznamem"/>
        <w:numPr>
          <w:ilvl w:val="0"/>
          <w:numId w:val="10"/>
        </w:numPr>
        <w:spacing w:before="0" w:after="120"/>
        <w:ind w:left="426" w:hanging="426"/>
        <w:contextualSpacing w:val="0"/>
        <w:rPr>
          <w:sz w:val="22"/>
          <w:szCs w:val="22"/>
        </w:rPr>
      </w:pPr>
      <w:r w:rsidRPr="00AE7EC9">
        <w:rPr>
          <w:sz w:val="22"/>
          <w:szCs w:val="22"/>
        </w:rPr>
        <w:t xml:space="preserve">Dodací list </w:t>
      </w:r>
      <w:r w:rsidR="00AA7B64" w:rsidRPr="00AE7EC9">
        <w:rPr>
          <w:sz w:val="22"/>
          <w:szCs w:val="22"/>
        </w:rPr>
        <w:t xml:space="preserve">připravuje a </w:t>
      </w:r>
      <w:r w:rsidR="00467117" w:rsidRPr="00AE7EC9">
        <w:rPr>
          <w:sz w:val="22"/>
          <w:szCs w:val="22"/>
        </w:rPr>
        <w:t xml:space="preserve">předkládá </w:t>
      </w:r>
      <w:r w:rsidR="00D85EED" w:rsidRPr="00AE7EC9">
        <w:rPr>
          <w:sz w:val="22"/>
          <w:szCs w:val="22"/>
        </w:rPr>
        <w:t>Prodávající</w:t>
      </w:r>
      <w:r w:rsidR="00467117" w:rsidRPr="00AE7EC9">
        <w:rPr>
          <w:sz w:val="22"/>
          <w:szCs w:val="22"/>
        </w:rPr>
        <w:t>.</w:t>
      </w:r>
    </w:p>
    <w:p w14:paraId="16CF4A47" w14:textId="77777777" w:rsidR="000778E9" w:rsidRPr="00AE7EC9" w:rsidRDefault="000778E9" w:rsidP="00204333">
      <w:pPr>
        <w:pStyle w:val="Odstavecseseznamem"/>
        <w:numPr>
          <w:ilvl w:val="0"/>
          <w:numId w:val="10"/>
        </w:numPr>
        <w:spacing w:before="0" w:after="120"/>
        <w:ind w:left="426" w:hanging="426"/>
        <w:contextualSpacing w:val="0"/>
        <w:rPr>
          <w:strike/>
          <w:sz w:val="22"/>
          <w:szCs w:val="22"/>
        </w:rPr>
      </w:pPr>
      <w:r w:rsidRPr="00AE7EC9">
        <w:rPr>
          <w:sz w:val="22"/>
          <w:szCs w:val="22"/>
        </w:rPr>
        <w:t xml:space="preserve">Okamžikem protokolárního převzetí </w:t>
      </w:r>
      <w:r w:rsidR="009B1090" w:rsidRPr="00AE7EC9">
        <w:rPr>
          <w:sz w:val="22"/>
          <w:szCs w:val="22"/>
        </w:rPr>
        <w:t>předmětu koupě</w:t>
      </w:r>
      <w:r w:rsidRPr="00AE7EC9">
        <w:rPr>
          <w:sz w:val="22"/>
          <w:szCs w:val="22"/>
        </w:rPr>
        <w:t xml:space="preserve"> přechází na </w:t>
      </w:r>
      <w:r w:rsidR="00923C21" w:rsidRPr="00AE7EC9">
        <w:rPr>
          <w:sz w:val="22"/>
          <w:szCs w:val="22"/>
        </w:rPr>
        <w:t>Kupující</w:t>
      </w:r>
      <w:r w:rsidR="009B1090" w:rsidRPr="00AE7EC9">
        <w:rPr>
          <w:sz w:val="22"/>
          <w:szCs w:val="22"/>
        </w:rPr>
        <w:t>ho</w:t>
      </w:r>
      <w:r w:rsidRPr="00AE7EC9">
        <w:rPr>
          <w:sz w:val="22"/>
          <w:szCs w:val="22"/>
        </w:rPr>
        <w:t xml:space="preserve"> vlastnické právo k předmětu </w:t>
      </w:r>
      <w:r w:rsidR="009B1090" w:rsidRPr="00AE7EC9">
        <w:rPr>
          <w:sz w:val="22"/>
          <w:szCs w:val="22"/>
        </w:rPr>
        <w:t>koupě</w:t>
      </w:r>
      <w:r w:rsidRPr="00AE7EC9">
        <w:rPr>
          <w:sz w:val="22"/>
          <w:szCs w:val="22"/>
        </w:rPr>
        <w:t xml:space="preserve"> </w:t>
      </w:r>
      <w:r w:rsidR="009B1090" w:rsidRPr="00AE7EC9">
        <w:rPr>
          <w:sz w:val="22"/>
          <w:szCs w:val="22"/>
        </w:rPr>
        <w:t>a</w:t>
      </w:r>
      <w:r w:rsidRPr="00AE7EC9">
        <w:rPr>
          <w:sz w:val="22"/>
          <w:szCs w:val="22"/>
        </w:rPr>
        <w:t xml:space="preserve"> právo k užití poskytnutých softwarových licencí</w:t>
      </w:r>
      <w:r w:rsidR="009B1090" w:rsidRPr="00AE7EC9">
        <w:rPr>
          <w:sz w:val="22"/>
          <w:szCs w:val="22"/>
        </w:rPr>
        <w:t xml:space="preserve"> </w:t>
      </w:r>
      <w:r w:rsidRPr="00AE7EC9">
        <w:rPr>
          <w:sz w:val="22"/>
          <w:szCs w:val="22"/>
        </w:rPr>
        <w:t xml:space="preserve">a nebezpečí škody na předmětu </w:t>
      </w:r>
      <w:r w:rsidR="009B1090" w:rsidRPr="00AE7EC9">
        <w:rPr>
          <w:sz w:val="22"/>
          <w:szCs w:val="22"/>
        </w:rPr>
        <w:t>koupě</w:t>
      </w:r>
      <w:r w:rsidR="005319DB" w:rsidRPr="00AE7EC9">
        <w:rPr>
          <w:sz w:val="22"/>
          <w:szCs w:val="22"/>
        </w:rPr>
        <w:t>.</w:t>
      </w:r>
    </w:p>
    <w:p w14:paraId="296150F3" w14:textId="77777777"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156B34E0" w14:textId="77777777" w:rsidR="0080441F" w:rsidRPr="00AE7EC9" w:rsidRDefault="00923C21" w:rsidP="00204333">
      <w:pPr>
        <w:numPr>
          <w:ilvl w:val="0"/>
          <w:numId w:val="13"/>
        </w:numPr>
        <w:spacing w:after="120" w:line="240" w:lineRule="auto"/>
        <w:ind w:left="426" w:hanging="426"/>
        <w:jc w:val="both"/>
      </w:pPr>
      <w:bookmarkStart w:id="9" w:name="_Hlk509823135"/>
      <w:r w:rsidRPr="00AE7EC9">
        <w:t xml:space="preserve">Prodávající </w:t>
      </w:r>
      <w:r w:rsidR="00ED2BF5" w:rsidRPr="00AE7EC9">
        <w:t>se zavazuje při p</w:t>
      </w:r>
      <w:r w:rsidR="006E37FE" w:rsidRPr="00AE7EC9">
        <w:t xml:space="preserve">lnění této Smlouvy </w:t>
      </w:r>
      <w:r w:rsidR="00ED2BF5" w:rsidRPr="00AE7EC9">
        <w:t>postupovat v souladu s</w:t>
      </w:r>
      <w:r w:rsidR="0080441F" w:rsidRPr="00AE7EC9">
        <w:t> </w:t>
      </w:r>
      <w:r w:rsidR="00ED2BF5" w:rsidRPr="00AE7EC9">
        <w:t>požadavky</w:t>
      </w:r>
      <w:r w:rsidR="0080441F" w:rsidRPr="00AE7EC9">
        <w:t>:</w:t>
      </w:r>
    </w:p>
    <w:p w14:paraId="4CD82A80" w14:textId="77777777" w:rsidR="0080441F" w:rsidRPr="00AE7EC9" w:rsidRDefault="00ED2BF5" w:rsidP="00A36AF2">
      <w:pPr>
        <w:pStyle w:val="Odstavecseseznamem"/>
        <w:numPr>
          <w:ilvl w:val="0"/>
          <w:numId w:val="20"/>
        </w:numPr>
        <w:spacing w:before="0" w:after="120" w:line="240" w:lineRule="auto"/>
        <w:ind w:left="993" w:hanging="284"/>
        <w:contextualSpacing w:val="0"/>
        <w:rPr>
          <w:sz w:val="22"/>
          <w:szCs w:val="22"/>
        </w:rPr>
      </w:pPr>
      <w:r w:rsidRPr="00AE7EC9">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AE7EC9">
        <w:rPr>
          <w:sz w:val="22"/>
          <w:szCs w:val="22"/>
        </w:rPr>
        <w:t>ně osobních údajů)</w:t>
      </w:r>
      <w:r w:rsidR="00937F9B" w:rsidRPr="00AE7EC9">
        <w:rPr>
          <w:sz w:val="22"/>
          <w:szCs w:val="22"/>
        </w:rPr>
        <w:t xml:space="preserve">, </w:t>
      </w:r>
      <w:r w:rsidR="00F90E81" w:rsidRPr="00AE7EC9">
        <w:rPr>
          <w:sz w:val="22"/>
          <w:szCs w:val="22"/>
        </w:rPr>
        <w:t xml:space="preserve">ve znění pozdějších předpisů </w:t>
      </w:r>
      <w:r w:rsidR="00D06F09" w:rsidRPr="00AE7EC9">
        <w:rPr>
          <w:sz w:val="22"/>
          <w:szCs w:val="22"/>
        </w:rPr>
        <w:t>(</w:t>
      </w:r>
      <w:r w:rsidR="002E746B" w:rsidRPr="00AE7EC9">
        <w:rPr>
          <w:sz w:val="22"/>
          <w:szCs w:val="22"/>
        </w:rPr>
        <w:t xml:space="preserve">dále </w:t>
      </w:r>
      <w:r w:rsidR="00D06F09" w:rsidRPr="00AE7EC9">
        <w:rPr>
          <w:sz w:val="22"/>
          <w:szCs w:val="22"/>
        </w:rPr>
        <w:t xml:space="preserve">jen </w:t>
      </w:r>
      <w:r w:rsidR="002E746B" w:rsidRPr="00AE7EC9">
        <w:rPr>
          <w:b/>
          <w:sz w:val="22"/>
          <w:szCs w:val="22"/>
        </w:rPr>
        <w:t>GDPR</w:t>
      </w:r>
      <w:r w:rsidR="00D06F09" w:rsidRPr="00AE7EC9">
        <w:rPr>
          <w:sz w:val="22"/>
          <w:szCs w:val="22"/>
        </w:rPr>
        <w:t>)</w:t>
      </w:r>
      <w:r w:rsidR="002E746B" w:rsidRPr="00AE7EC9">
        <w:rPr>
          <w:sz w:val="22"/>
          <w:szCs w:val="22"/>
        </w:rPr>
        <w:t>,</w:t>
      </w:r>
    </w:p>
    <w:p w14:paraId="1BE34206" w14:textId="77777777" w:rsidR="00573608" w:rsidRPr="00AE7EC9" w:rsidRDefault="00573608" w:rsidP="00A36AF2">
      <w:pPr>
        <w:pStyle w:val="Odstavecseseznamem"/>
        <w:numPr>
          <w:ilvl w:val="0"/>
          <w:numId w:val="20"/>
        </w:numPr>
        <w:ind w:left="993" w:hanging="284"/>
        <w:rPr>
          <w:sz w:val="22"/>
          <w:szCs w:val="22"/>
        </w:rPr>
      </w:pPr>
      <w:r w:rsidRPr="00AE7EC9">
        <w:rPr>
          <w:sz w:val="22"/>
          <w:szCs w:val="22"/>
        </w:rPr>
        <w:t>zákona č. 110/2019 Sb. o zpracování osobních údajů, ve znění pozdějších předpisů (dále jen Zákon o zpracování osobních údajů).</w:t>
      </w:r>
    </w:p>
    <w:p w14:paraId="7868ABA1" w14:textId="77777777" w:rsidR="00D06F09" w:rsidRPr="00AE7EC9" w:rsidRDefault="00ED2BF5" w:rsidP="00204333">
      <w:pPr>
        <w:numPr>
          <w:ilvl w:val="0"/>
          <w:numId w:val="13"/>
        </w:numPr>
        <w:spacing w:after="120" w:line="240" w:lineRule="auto"/>
        <w:ind w:left="426" w:hanging="426"/>
        <w:jc w:val="both"/>
      </w:pPr>
      <w:bookmarkStart w:id="10" w:name="_Hlk510509792"/>
      <w:r w:rsidRPr="00AE7EC9">
        <w:t xml:space="preserve">Za </w:t>
      </w:r>
      <w:r w:rsidR="00155CB2" w:rsidRPr="00AE7EC9">
        <w:rPr>
          <w:b/>
        </w:rPr>
        <w:t xml:space="preserve">důvěrné </w:t>
      </w:r>
      <w:r w:rsidRPr="00AE7EC9">
        <w:rPr>
          <w:b/>
        </w:rPr>
        <w:t>informace</w:t>
      </w:r>
      <w:r w:rsidRPr="00AE7EC9">
        <w:t xml:space="preserve"> se považují vždy</w:t>
      </w:r>
      <w:r w:rsidR="00D06F09" w:rsidRPr="00AE7EC9">
        <w:t>:</w:t>
      </w:r>
    </w:p>
    <w:p w14:paraId="628D3C51" w14:textId="2B71D783" w:rsidR="00D72261" w:rsidRPr="00AE7EC9" w:rsidRDefault="00ED2BF5" w:rsidP="00A36AF2">
      <w:pPr>
        <w:pStyle w:val="Odstavecseseznamem"/>
        <w:numPr>
          <w:ilvl w:val="0"/>
          <w:numId w:val="20"/>
        </w:numPr>
        <w:spacing w:before="0" w:after="120" w:line="240" w:lineRule="auto"/>
        <w:ind w:left="993" w:hanging="284"/>
        <w:contextualSpacing w:val="0"/>
        <w:rPr>
          <w:sz w:val="22"/>
          <w:szCs w:val="22"/>
        </w:rPr>
      </w:pPr>
      <w:r w:rsidRPr="00AE7EC9">
        <w:rPr>
          <w:sz w:val="22"/>
          <w:szCs w:val="22"/>
        </w:rPr>
        <w:t>veškeré osobní údaje ve smyslu GDPR</w:t>
      </w:r>
      <w:r w:rsidR="00520139" w:rsidRPr="00AE7EC9">
        <w:rPr>
          <w:sz w:val="22"/>
          <w:szCs w:val="22"/>
        </w:rPr>
        <w:t xml:space="preserve"> a </w:t>
      </w:r>
      <w:r w:rsidR="00155CB2" w:rsidRPr="00AE7EC9">
        <w:rPr>
          <w:sz w:val="22"/>
          <w:szCs w:val="22"/>
        </w:rPr>
        <w:t>Z</w:t>
      </w:r>
      <w:r w:rsidR="00520139" w:rsidRPr="00AE7EC9">
        <w:rPr>
          <w:sz w:val="22"/>
          <w:szCs w:val="22"/>
        </w:rPr>
        <w:t xml:space="preserve">ákona </w:t>
      </w:r>
      <w:r w:rsidR="00155CB2" w:rsidRPr="00AE7EC9">
        <w:rPr>
          <w:sz w:val="22"/>
          <w:szCs w:val="22"/>
        </w:rPr>
        <w:t>o ochraně osobních údajů</w:t>
      </w:r>
      <w:r w:rsidR="00D06F09" w:rsidRPr="00AE7EC9">
        <w:rPr>
          <w:sz w:val="22"/>
          <w:szCs w:val="22"/>
        </w:rPr>
        <w:t>,</w:t>
      </w:r>
    </w:p>
    <w:p w14:paraId="5F4FE0F1" w14:textId="77777777" w:rsidR="00D72261" w:rsidRPr="00AE7EC9" w:rsidRDefault="00D72261" w:rsidP="00A36AF2">
      <w:pPr>
        <w:pStyle w:val="Odstavecseseznamem"/>
        <w:numPr>
          <w:ilvl w:val="0"/>
          <w:numId w:val="20"/>
        </w:numPr>
        <w:spacing w:before="0" w:after="120" w:line="240" w:lineRule="auto"/>
        <w:ind w:left="993" w:hanging="284"/>
        <w:contextualSpacing w:val="0"/>
        <w:rPr>
          <w:sz w:val="22"/>
          <w:szCs w:val="22"/>
        </w:rPr>
      </w:pPr>
      <w:r w:rsidRPr="00AE7EC9">
        <w:rPr>
          <w:sz w:val="22"/>
          <w:szCs w:val="22"/>
        </w:rPr>
        <w:t xml:space="preserve">veškeré informace poskytnuté </w:t>
      </w:r>
      <w:r w:rsidR="006E37FE" w:rsidRPr="00AE7EC9">
        <w:rPr>
          <w:sz w:val="22"/>
          <w:szCs w:val="22"/>
        </w:rPr>
        <w:t>Kupujícím Prodávajícímu</w:t>
      </w:r>
      <w:r w:rsidRPr="00AE7EC9">
        <w:rPr>
          <w:sz w:val="22"/>
          <w:szCs w:val="22"/>
        </w:rPr>
        <w:t xml:space="preserve"> v souvislosti s touto Smlouv</w:t>
      </w:r>
      <w:r w:rsidR="00AB134D" w:rsidRPr="00AE7EC9">
        <w:rPr>
          <w:sz w:val="22"/>
          <w:szCs w:val="22"/>
        </w:rPr>
        <w:t>ou,</w:t>
      </w:r>
    </w:p>
    <w:p w14:paraId="16755E83" w14:textId="77777777" w:rsidR="00D72261" w:rsidRPr="00AE7EC9" w:rsidRDefault="00D72261" w:rsidP="00A36AF2">
      <w:pPr>
        <w:pStyle w:val="Odstavecseseznamem"/>
        <w:numPr>
          <w:ilvl w:val="0"/>
          <w:numId w:val="20"/>
        </w:numPr>
        <w:spacing w:before="0" w:after="120" w:line="240" w:lineRule="auto"/>
        <w:ind w:left="993" w:hanging="284"/>
        <w:contextualSpacing w:val="0"/>
        <w:rPr>
          <w:sz w:val="22"/>
          <w:szCs w:val="22"/>
        </w:rPr>
      </w:pPr>
      <w:r w:rsidRPr="00AE7EC9">
        <w:rPr>
          <w:sz w:val="22"/>
          <w:szCs w:val="22"/>
        </w:rPr>
        <w:t>informace, na které se vztahuje zákonem uložená pov</w:t>
      </w:r>
      <w:r w:rsidR="00AB134D" w:rsidRPr="00AE7EC9">
        <w:rPr>
          <w:sz w:val="22"/>
          <w:szCs w:val="22"/>
        </w:rPr>
        <w:t xml:space="preserve">innost mlčenlivosti </w:t>
      </w:r>
      <w:r w:rsidR="00923C21" w:rsidRPr="00AE7EC9">
        <w:rPr>
          <w:sz w:val="22"/>
          <w:szCs w:val="22"/>
        </w:rPr>
        <w:t>Kupující</w:t>
      </w:r>
      <w:r w:rsidR="006E37FE" w:rsidRPr="00AE7EC9">
        <w:rPr>
          <w:sz w:val="22"/>
          <w:szCs w:val="22"/>
        </w:rPr>
        <w:t>ho</w:t>
      </w:r>
      <w:r w:rsidR="00AB134D" w:rsidRPr="00AE7EC9">
        <w:rPr>
          <w:sz w:val="22"/>
          <w:szCs w:val="22"/>
        </w:rPr>
        <w:t>,</w:t>
      </w:r>
    </w:p>
    <w:p w14:paraId="2FB77CB7" w14:textId="77777777" w:rsidR="00D72261" w:rsidRPr="00AE7EC9" w:rsidRDefault="00D72261" w:rsidP="00A36AF2">
      <w:pPr>
        <w:pStyle w:val="Odstavecseseznamem"/>
        <w:numPr>
          <w:ilvl w:val="0"/>
          <w:numId w:val="20"/>
        </w:numPr>
        <w:spacing w:before="0" w:after="120" w:line="240" w:lineRule="auto"/>
        <w:ind w:left="993" w:hanging="284"/>
        <w:contextualSpacing w:val="0"/>
        <w:rPr>
          <w:sz w:val="22"/>
          <w:szCs w:val="22"/>
        </w:rPr>
      </w:pPr>
      <w:r w:rsidRPr="00AE7EC9">
        <w:rPr>
          <w:sz w:val="22"/>
          <w:szCs w:val="22"/>
        </w:rPr>
        <w:t xml:space="preserve">veškeré další informace, které budou </w:t>
      </w:r>
      <w:r w:rsidR="006E37FE" w:rsidRPr="00AE7EC9">
        <w:rPr>
          <w:sz w:val="22"/>
          <w:szCs w:val="22"/>
        </w:rPr>
        <w:t>Kupujícím či</w:t>
      </w:r>
      <w:r w:rsidRPr="00AE7EC9">
        <w:rPr>
          <w:sz w:val="22"/>
          <w:szCs w:val="22"/>
        </w:rPr>
        <w:t xml:space="preserve"> </w:t>
      </w:r>
      <w:r w:rsidR="00984F5A" w:rsidRPr="00AE7EC9">
        <w:rPr>
          <w:sz w:val="22"/>
          <w:szCs w:val="22"/>
        </w:rPr>
        <w:t>Prodávajícím</w:t>
      </w:r>
      <w:r w:rsidRPr="00AE7EC9">
        <w:rPr>
          <w:sz w:val="22"/>
          <w:szCs w:val="22"/>
        </w:rPr>
        <w:t xml:space="preserve"> označeny jako </w:t>
      </w:r>
      <w:r w:rsidR="00D06F09" w:rsidRPr="00AE7EC9">
        <w:rPr>
          <w:sz w:val="22"/>
          <w:szCs w:val="22"/>
        </w:rPr>
        <w:t>důvěrné</w:t>
      </w:r>
      <w:r w:rsidRPr="00AE7EC9">
        <w:rPr>
          <w:sz w:val="22"/>
          <w:szCs w:val="22"/>
        </w:rPr>
        <w:t xml:space="preserve"> ve smyslu ustanovení § 218 zákona č. 134/2016 Sb., ZZVZ.</w:t>
      </w:r>
    </w:p>
    <w:bookmarkEnd w:id="10"/>
    <w:p w14:paraId="2D384A01" w14:textId="77777777" w:rsidR="00D72261" w:rsidRPr="00AE7EC9" w:rsidRDefault="00923C21" w:rsidP="00A36AF2">
      <w:pPr>
        <w:numPr>
          <w:ilvl w:val="0"/>
          <w:numId w:val="13"/>
        </w:numPr>
        <w:spacing w:after="120" w:line="240" w:lineRule="auto"/>
        <w:ind w:left="426" w:hanging="426"/>
        <w:jc w:val="both"/>
      </w:pPr>
      <w:r w:rsidRPr="00AE7EC9">
        <w:t xml:space="preserve">Prodávající </w:t>
      </w:r>
      <w:r w:rsidR="00D72261" w:rsidRPr="00AE7EC9">
        <w:t xml:space="preserve">je povinen důvěrné informace užít pouze </w:t>
      </w:r>
      <w:r w:rsidR="002E746B" w:rsidRPr="00AE7EC9">
        <w:t>z</w:t>
      </w:r>
      <w:r w:rsidR="00D72261" w:rsidRPr="00AE7EC9">
        <w:t>a účelem plnění této Smlouvy.</w:t>
      </w:r>
      <w:bookmarkStart w:id="11" w:name="_Ref338775738"/>
      <w:r w:rsidR="00D72261" w:rsidRPr="00AE7EC9">
        <w:t xml:space="preserve"> Jiná použití nejsou bez písemného svolení </w:t>
      </w:r>
      <w:r w:rsidRPr="00AE7EC9">
        <w:t>Kupující</w:t>
      </w:r>
      <w:r w:rsidR="006E37FE" w:rsidRPr="00AE7EC9">
        <w:t>ho</w:t>
      </w:r>
      <w:r w:rsidR="00D72261" w:rsidRPr="00AE7EC9">
        <w:t xml:space="preserve"> přípustná.</w:t>
      </w:r>
      <w:bookmarkEnd w:id="11"/>
      <w:r w:rsidR="00D72261" w:rsidRPr="00AE7EC9">
        <w:t xml:space="preserve"> </w:t>
      </w:r>
    </w:p>
    <w:p w14:paraId="637BD3D0" w14:textId="77777777" w:rsidR="00D72261" w:rsidRPr="00AE7EC9" w:rsidRDefault="00D72261" w:rsidP="00A36AF2">
      <w:pPr>
        <w:numPr>
          <w:ilvl w:val="0"/>
          <w:numId w:val="13"/>
        </w:numPr>
        <w:spacing w:after="120" w:line="240" w:lineRule="auto"/>
        <w:ind w:left="426" w:hanging="426"/>
        <w:jc w:val="both"/>
      </w:pPr>
      <w:r w:rsidRPr="00AE7EC9">
        <w:t>Za prokázané porušení povinností souvisejících s ochranou důvěrných informací dle Smlouvy má druhá Smluvní strana právo požadovat náhradu takto vzniklé škody.</w:t>
      </w:r>
    </w:p>
    <w:p w14:paraId="2079CF65" w14:textId="77777777" w:rsidR="00ED2BF5" w:rsidRPr="00155CB2" w:rsidRDefault="00ED2BF5" w:rsidP="00A36AF2">
      <w:pPr>
        <w:numPr>
          <w:ilvl w:val="0"/>
          <w:numId w:val="13"/>
        </w:numPr>
        <w:spacing w:after="120" w:line="240" w:lineRule="auto"/>
        <w:ind w:left="426" w:hanging="426"/>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1620B1" w14:textId="77777777" w:rsidR="00BE12E8" w:rsidRPr="00A743BF" w:rsidRDefault="00923C21" w:rsidP="00A36AF2">
      <w:pPr>
        <w:numPr>
          <w:ilvl w:val="0"/>
          <w:numId w:val="13"/>
        </w:numPr>
        <w:spacing w:after="120" w:line="240" w:lineRule="auto"/>
        <w:ind w:left="426" w:hanging="426"/>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77F11FAE" w14:textId="77777777" w:rsidR="00BE12E8" w:rsidRPr="00155CB2" w:rsidRDefault="00923C21" w:rsidP="00A36AF2">
      <w:pPr>
        <w:numPr>
          <w:ilvl w:val="0"/>
          <w:numId w:val="13"/>
        </w:numPr>
        <w:spacing w:after="120" w:line="240" w:lineRule="auto"/>
        <w:ind w:left="426" w:hanging="426"/>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7859604D" w14:textId="77777777" w:rsidR="00BE12E8" w:rsidRPr="00A743BF" w:rsidRDefault="00923C21" w:rsidP="00A36AF2">
      <w:pPr>
        <w:numPr>
          <w:ilvl w:val="0"/>
          <w:numId w:val="13"/>
        </w:numPr>
        <w:spacing w:after="120" w:line="240" w:lineRule="auto"/>
        <w:ind w:left="426" w:hanging="426"/>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17D06130" w14:textId="77777777" w:rsidR="00BE12E8" w:rsidRPr="00AE7EC9" w:rsidRDefault="00BE12E8" w:rsidP="00A36AF2">
      <w:pPr>
        <w:numPr>
          <w:ilvl w:val="0"/>
          <w:numId w:val="13"/>
        </w:numPr>
        <w:spacing w:after="120" w:line="240" w:lineRule="auto"/>
        <w:ind w:left="426" w:hanging="426"/>
        <w:jc w:val="both"/>
      </w:pPr>
      <w:r w:rsidRPr="00AE7EC9">
        <w:lastRenderedPageBreak/>
        <w:t>Povinnost poskytovat informace podle zákona</w:t>
      </w:r>
      <w:r w:rsidR="00B872C5" w:rsidRPr="00AE7EC9">
        <w:t xml:space="preserve"> č. 106/1999 Sb., o svobodném </w:t>
      </w:r>
      <w:r w:rsidRPr="00AE7EC9">
        <w:t xml:space="preserve">přístupu k informacím, </w:t>
      </w:r>
      <w:r w:rsidR="00F90E81" w:rsidRPr="00AE7EC9">
        <w:t>ve znění pozdějších předpisů</w:t>
      </w:r>
      <w:r w:rsidRPr="00AE7EC9">
        <w:t>, není tímto ustanovením dotčena.</w:t>
      </w:r>
    </w:p>
    <w:p w14:paraId="302D219D" w14:textId="77777777" w:rsidR="00BE12E8" w:rsidRPr="00AE7EC9" w:rsidRDefault="00BE12E8" w:rsidP="00A36AF2">
      <w:pPr>
        <w:numPr>
          <w:ilvl w:val="0"/>
          <w:numId w:val="13"/>
        </w:numPr>
        <w:spacing w:after="120" w:line="240" w:lineRule="auto"/>
        <w:ind w:left="426" w:hanging="426"/>
        <w:jc w:val="both"/>
      </w:pPr>
      <w:r w:rsidRPr="00AE7EC9">
        <w:t>Povinnost zachovávat mlčenlivost uvedenou v tomto čl</w:t>
      </w:r>
      <w:r w:rsidR="00743B30" w:rsidRPr="00AE7EC9">
        <w:t>ánku</w:t>
      </w:r>
      <w:r w:rsidRPr="00AE7EC9">
        <w:t xml:space="preserve"> se nevztahuje na informace:</w:t>
      </w:r>
    </w:p>
    <w:p w14:paraId="4E6F6032" w14:textId="07E4279A" w:rsidR="00BE12E8" w:rsidRPr="00AE7EC9" w:rsidRDefault="00BE12E8" w:rsidP="00A36AF2">
      <w:pPr>
        <w:pStyle w:val="Odstavecseseznamem"/>
        <w:numPr>
          <w:ilvl w:val="0"/>
          <w:numId w:val="15"/>
        </w:numPr>
        <w:ind w:left="993" w:hanging="285"/>
        <w:rPr>
          <w:sz w:val="22"/>
          <w:szCs w:val="22"/>
        </w:rPr>
      </w:pPr>
      <w:r w:rsidRPr="00AE7EC9">
        <w:rPr>
          <w:sz w:val="22"/>
          <w:szCs w:val="22"/>
        </w:rPr>
        <w:t xml:space="preserve">které jsou nebo se stanou všeobecně a veřejně přístupnými jinak než porušením právních povinností ze strany </w:t>
      </w:r>
      <w:r w:rsidR="00C65DF2" w:rsidRPr="00AE7EC9">
        <w:rPr>
          <w:sz w:val="22"/>
          <w:szCs w:val="22"/>
        </w:rPr>
        <w:t>Prodávajícího</w:t>
      </w:r>
      <w:r w:rsidR="006340B6" w:rsidRPr="00AE7EC9">
        <w:rPr>
          <w:sz w:val="22"/>
          <w:szCs w:val="22"/>
        </w:rPr>
        <w:t>,</w:t>
      </w:r>
    </w:p>
    <w:p w14:paraId="21CA480A" w14:textId="77777777" w:rsidR="00BE12E8" w:rsidRPr="00AE7EC9" w:rsidRDefault="00BE12E8" w:rsidP="00A36AF2">
      <w:pPr>
        <w:pStyle w:val="Odstavecseseznamem"/>
        <w:numPr>
          <w:ilvl w:val="0"/>
          <w:numId w:val="15"/>
        </w:numPr>
        <w:ind w:left="993" w:hanging="285"/>
        <w:rPr>
          <w:sz w:val="22"/>
          <w:szCs w:val="22"/>
        </w:rPr>
      </w:pPr>
      <w:r w:rsidRPr="00AE7EC9">
        <w:rPr>
          <w:sz w:val="22"/>
          <w:szCs w:val="22"/>
        </w:rPr>
        <w:t xml:space="preserve">u nichž je </w:t>
      </w:r>
      <w:r w:rsidR="00923C21" w:rsidRPr="00AE7EC9">
        <w:rPr>
          <w:sz w:val="22"/>
          <w:szCs w:val="22"/>
        </w:rPr>
        <w:t xml:space="preserve">Prodávající </w:t>
      </w:r>
      <w:r w:rsidRPr="00AE7EC9">
        <w:rPr>
          <w:sz w:val="22"/>
          <w:szCs w:val="22"/>
        </w:rPr>
        <w:t xml:space="preserve">schopen prokázat, že mu byly známy a byly mu volně k dispozici ještě před přijetím těchto informací od </w:t>
      </w:r>
      <w:r w:rsidR="00923C21" w:rsidRPr="00AE7EC9">
        <w:rPr>
          <w:sz w:val="22"/>
          <w:szCs w:val="22"/>
        </w:rPr>
        <w:t>Kupující</w:t>
      </w:r>
      <w:r w:rsidR="006340B6" w:rsidRPr="00AE7EC9">
        <w:rPr>
          <w:sz w:val="22"/>
          <w:szCs w:val="22"/>
        </w:rPr>
        <w:t>ho,</w:t>
      </w:r>
    </w:p>
    <w:p w14:paraId="683A745B" w14:textId="77777777" w:rsidR="00BE12E8" w:rsidRPr="00AE7EC9" w:rsidRDefault="00BE12E8" w:rsidP="00A36AF2">
      <w:pPr>
        <w:pStyle w:val="Odstavecseseznamem"/>
        <w:numPr>
          <w:ilvl w:val="0"/>
          <w:numId w:val="15"/>
        </w:numPr>
        <w:ind w:left="993" w:hanging="285"/>
        <w:rPr>
          <w:sz w:val="22"/>
          <w:szCs w:val="22"/>
        </w:rPr>
      </w:pPr>
      <w:r w:rsidRPr="00AE7EC9">
        <w:rPr>
          <w:sz w:val="22"/>
          <w:szCs w:val="22"/>
        </w:rPr>
        <w:t xml:space="preserve">které budou </w:t>
      </w:r>
      <w:r w:rsidR="008D23CD" w:rsidRPr="00AE7EC9">
        <w:rPr>
          <w:sz w:val="22"/>
          <w:szCs w:val="22"/>
        </w:rPr>
        <w:t>Prodávajícímu</w:t>
      </w:r>
      <w:r w:rsidRPr="00AE7EC9">
        <w:rPr>
          <w:sz w:val="22"/>
          <w:szCs w:val="22"/>
        </w:rPr>
        <w:t xml:space="preserve"> po uzavření této </w:t>
      </w:r>
      <w:r w:rsidR="00B067C8" w:rsidRPr="00AE7EC9">
        <w:rPr>
          <w:sz w:val="22"/>
          <w:szCs w:val="22"/>
        </w:rPr>
        <w:t>Smlouv</w:t>
      </w:r>
      <w:r w:rsidRPr="00AE7EC9">
        <w:rPr>
          <w:sz w:val="22"/>
          <w:szCs w:val="22"/>
        </w:rPr>
        <w:t>y sděleny bez povinnosti mlčenlivosti třetí stranou, jež rovněž nen</w:t>
      </w:r>
      <w:r w:rsidR="006340B6" w:rsidRPr="00AE7EC9">
        <w:rPr>
          <w:sz w:val="22"/>
          <w:szCs w:val="22"/>
        </w:rPr>
        <w:t>í ve vztahu k nim nijak vázána,</w:t>
      </w:r>
    </w:p>
    <w:p w14:paraId="258EC743" w14:textId="77777777" w:rsidR="00B260FE" w:rsidRPr="00AE7EC9" w:rsidRDefault="00BE12E8" w:rsidP="00A36AF2">
      <w:pPr>
        <w:pStyle w:val="Odstavecseseznamem"/>
        <w:numPr>
          <w:ilvl w:val="0"/>
          <w:numId w:val="15"/>
        </w:numPr>
        <w:spacing w:after="120" w:line="240" w:lineRule="auto"/>
        <w:ind w:left="993" w:hanging="285"/>
        <w:rPr>
          <w:sz w:val="22"/>
          <w:szCs w:val="22"/>
        </w:rPr>
      </w:pPr>
      <w:r w:rsidRPr="00AE7EC9">
        <w:rPr>
          <w:sz w:val="22"/>
          <w:szCs w:val="22"/>
        </w:rPr>
        <w:t>jejichž sdělení se vyžaduje ze zákona.</w:t>
      </w:r>
    </w:p>
    <w:p w14:paraId="717F2702" w14:textId="6DDD9B13" w:rsidR="00B260FE" w:rsidRPr="00AE7EC9" w:rsidRDefault="00B260FE" w:rsidP="00A36AF2">
      <w:pPr>
        <w:numPr>
          <w:ilvl w:val="0"/>
          <w:numId w:val="13"/>
        </w:numPr>
        <w:spacing w:after="120" w:line="240" w:lineRule="auto"/>
        <w:ind w:left="426" w:hanging="426"/>
        <w:jc w:val="both"/>
      </w:pPr>
      <w:r w:rsidRPr="00AE7EC9">
        <w:t xml:space="preserve">Kupující má právo provést kontrolu znalosti textu uvedeného v tomto článku Smlouvy a rovněž má právo odmítnout přístup k informacím a informačním zařízením zaměstnancům </w:t>
      </w:r>
      <w:r w:rsidR="003665DA" w:rsidRPr="00AE7EC9">
        <w:t>prodávajícího</w:t>
      </w:r>
      <w:r w:rsidRPr="00AE7EC9">
        <w:t>, kteří neprokáž</w:t>
      </w:r>
      <w:r w:rsidR="00D40C4E">
        <w:t>ou</w:t>
      </w:r>
      <w:r w:rsidRPr="00AE7EC9">
        <w:t xml:space="preserve"> potřebné znalosti nebo jejichž chování bude v rozporu s předmětem této Smlouvy nebo obecně závazných právních předpisů, aniž by to </w:t>
      </w:r>
      <w:r w:rsidR="003665DA" w:rsidRPr="00AE7EC9">
        <w:t>Prodávajícím</w:t>
      </w:r>
      <w:r w:rsidRPr="00AE7EC9">
        <w:t xml:space="preserve"> bylo považováno za porušení potřebné součinnosti ze strany </w:t>
      </w:r>
      <w:r w:rsidR="003665DA" w:rsidRPr="00AE7EC9">
        <w:t>Kupujícího</w:t>
      </w:r>
      <w:r w:rsidRPr="00AE7EC9">
        <w:t>.</w:t>
      </w:r>
    </w:p>
    <w:p w14:paraId="3608777B" w14:textId="77777777" w:rsidR="00900D1A" w:rsidRPr="00AE7EC9" w:rsidRDefault="00900D1A" w:rsidP="00A36AF2">
      <w:pPr>
        <w:numPr>
          <w:ilvl w:val="0"/>
          <w:numId w:val="13"/>
        </w:numPr>
        <w:spacing w:after="480" w:line="240" w:lineRule="auto"/>
        <w:ind w:left="426" w:hanging="426"/>
        <w:jc w:val="both"/>
      </w:pPr>
      <w:r w:rsidRPr="00AE7EC9">
        <w:t>Smluvní strany se zavazují dodržovat povinnosti dle tohoto článku Smlouvy i po ukončení účinnosti Smlouvy.</w:t>
      </w:r>
    </w:p>
    <w:p w14:paraId="7DDC77FB" w14:textId="77777777"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2" w:name="_Hlk510510390"/>
      <w:bookmarkEnd w:id="9"/>
      <w:r>
        <w:rPr>
          <w:color w:val="2F5496" w:themeColor="accent1" w:themeShade="BF"/>
        </w:rPr>
        <w:t xml:space="preserve"> </w:t>
      </w:r>
      <w:bookmarkStart w:id="13" w:name="_Hlk511034185"/>
      <w:r w:rsidRPr="00FD68CF">
        <w:rPr>
          <w:color w:val="2F5496" w:themeColor="accent1" w:themeShade="BF"/>
        </w:rPr>
        <w:t>Duševní vlastnictví a obchodní tajemství</w:t>
      </w:r>
    </w:p>
    <w:p w14:paraId="0DF3D145" w14:textId="77777777" w:rsidR="00702DCC" w:rsidRPr="00FD68CF" w:rsidRDefault="00702DCC" w:rsidP="00A36AF2">
      <w:pPr>
        <w:numPr>
          <w:ilvl w:val="0"/>
          <w:numId w:val="22"/>
        </w:numPr>
        <w:spacing w:after="60" w:line="240" w:lineRule="auto"/>
        <w:ind w:left="426" w:hanging="426"/>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5DB00BEC" w14:textId="77777777" w:rsidR="00702DCC" w:rsidRPr="00FD68CF" w:rsidRDefault="00923C21" w:rsidP="00A36AF2">
      <w:pPr>
        <w:numPr>
          <w:ilvl w:val="0"/>
          <w:numId w:val="22"/>
        </w:numPr>
        <w:spacing w:after="60" w:line="240" w:lineRule="auto"/>
        <w:ind w:left="426" w:hanging="426"/>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45C63DFE" w14:textId="77777777" w:rsidR="00702DCC" w:rsidRPr="00466624" w:rsidRDefault="00923C21" w:rsidP="00A36AF2">
      <w:pPr>
        <w:numPr>
          <w:ilvl w:val="0"/>
          <w:numId w:val="22"/>
        </w:numPr>
        <w:spacing w:after="60" w:line="240" w:lineRule="auto"/>
        <w:ind w:left="426" w:hanging="426"/>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61450A45" w14:textId="77777777" w:rsidR="00702DCC" w:rsidRPr="00466624" w:rsidRDefault="00923C21" w:rsidP="00A36AF2">
      <w:pPr>
        <w:numPr>
          <w:ilvl w:val="0"/>
          <w:numId w:val="22"/>
        </w:numPr>
        <w:spacing w:after="60" w:line="240" w:lineRule="auto"/>
        <w:ind w:left="426" w:hanging="426"/>
        <w:jc w:val="both"/>
      </w:pPr>
      <w:r>
        <w:t>Kupující</w:t>
      </w:r>
      <w:r w:rsidR="00702DCC" w:rsidRPr="00466624">
        <w:t xml:space="preserve"> není oprávněn rozkódovávat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30A7E078" w14:textId="77777777" w:rsidR="00466624" w:rsidRDefault="00466624" w:rsidP="00A36AF2">
      <w:pPr>
        <w:numPr>
          <w:ilvl w:val="0"/>
          <w:numId w:val="22"/>
        </w:numPr>
        <w:spacing w:after="60" w:line="240" w:lineRule="auto"/>
        <w:ind w:left="426" w:hanging="426"/>
        <w:jc w:val="both"/>
      </w:pPr>
      <w:r>
        <w:t xml:space="preserve">Povinnost mlčenlivosti může být porušena pouze </w:t>
      </w:r>
      <w:bookmarkStart w:id="14" w:name="_Hlk510776831"/>
      <w:r>
        <w:t>v zákonem stanovených případech.</w:t>
      </w:r>
    </w:p>
    <w:bookmarkEnd w:id="14"/>
    <w:p w14:paraId="335B288C" w14:textId="77777777" w:rsidR="00702DCC" w:rsidRPr="00466624" w:rsidRDefault="00702DCC" w:rsidP="00A36AF2">
      <w:pPr>
        <w:numPr>
          <w:ilvl w:val="0"/>
          <w:numId w:val="22"/>
        </w:numPr>
        <w:spacing w:after="60" w:line="240" w:lineRule="auto"/>
        <w:ind w:left="426" w:hanging="426"/>
        <w:jc w:val="both"/>
      </w:pPr>
      <w:r w:rsidRPr="00466624">
        <w:t>Smluvní strany se zavazují dodržovat povinnosti dle tohoto článku Smlouvy i po ukončení účinnosti Smlouvy.</w:t>
      </w:r>
    </w:p>
    <w:p w14:paraId="4B2F4B3D" w14:textId="77777777"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5" w:name="_Hlk511034349"/>
      <w:bookmarkEnd w:id="12"/>
      <w:bookmarkEnd w:id="13"/>
      <w:r>
        <w:rPr>
          <w:color w:val="2F5496" w:themeColor="accent1" w:themeShade="BF"/>
        </w:rPr>
        <w:lastRenderedPageBreak/>
        <w:t xml:space="preserve"> </w:t>
      </w:r>
      <w:r w:rsidR="00BE12E8" w:rsidRPr="00DD7985">
        <w:rPr>
          <w:color w:val="2F5496" w:themeColor="accent1" w:themeShade="BF"/>
        </w:rPr>
        <w:t>Smluvní pokuty</w:t>
      </w:r>
    </w:p>
    <w:p w14:paraId="70664ED4" w14:textId="77777777" w:rsidR="00382B79" w:rsidRPr="0058593F" w:rsidRDefault="002C7A70" w:rsidP="00A36AF2">
      <w:pPr>
        <w:numPr>
          <w:ilvl w:val="0"/>
          <w:numId w:val="14"/>
        </w:numPr>
        <w:spacing w:after="120" w:line="240" w:lineRule="auto"/>
        <w:ind w:left="426" w:hanging="426"/>
        <w:jc w:val="both"/>
      </w:pPr>
      <w:bookmarkStart w:id="16"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w:t>
      </w:r>
      <w:r w:rsidR="0084327C">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1FEB1BE5" w14:textId="77777777" w:rsidR="00BE12E8" w:rsidRDefault="00DD7985" w:rsidP="00A36AF2">
      <w:pPr>
        <w:numPr>
          <w:ilvl w:val="0"/>
          <w:numId w:val="14"/>
        </w:numPr>
        <w:spacing w:after="120" w:line="240" w:lineRule="auto"/>
        <w:ind w:left="426" w:hanging="426"/>
        <w:jc w:val="both"/>
      </w:pPr>
      <w:bookmarkStart w:id="17" w:name="_Hlk510511352"/>
      <w:bookmarkEnd w:id="16"/>
      <w:r w:rsidRPr="00312DC5">
        <w:t>V</w:t>
      </w:r>
      <w:r w:rsidR="00BE12E8" w:rsidRPr="00312DC5">
        <w:t xml:space="preserve"> případě prodlení </w:t>
      </w:r>
      <w:r w:rsidR="00923C21">
        <w:t>Kupující</w:t>
      </w:r>
      <w:r w:rsidR="00587EF1">
        <w:t>ho</w:t>
      </w:r>
      <w:r w:rsidR="00BE12E8" w:rsidRPr="00312DC5">
        <w:t xml:space="preserve"> s </w:t>
      </w:r>
      <w:bookmarkStart w:id="18"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8"/>
      <w:r w:rsidR="00BE12E8" w:rsidRPr="00312DC5">
        <w:t xml:space="preserve"> ve výši 0,05</w:t>
      </w:r>
      <w:r w:rsidR="00C06770" w:rsidRPr="00312DC5">
        <w:t xml:space="preserve"> </w:t>
      </w:r>
      <w:r w:rsidR="00BE12E8" w:rsidRPr="00312DC5">
        <w:t xml:space="preserve">% z dlužné částky </w:t>
      </w:r>
      <w:bookmarkStart w:id="19" w:name="_Hlk510507603"/>
      <w:r w:rsidR="00BE12E8" w:rsidRPr="00312DC5">
        <w:t xml:space="preserve">za </w:t>
      </w:r>
      <w:r w:rsidR="002048FB" w:rsidRPr="00312DC5">
        <w:t xml:space="preserve">každý i započatý den </w:t>
      </w:r>
      <w:r w:rsidR="00BE12E8" w:rsidRPr="00312DC5">
        <w:t>prodlení</w:t>
      </w:r>
      <w:bookmarkEnd w:id="19"/>
      <w:r w:rsidR="008376F5">
        <w:t xml:space="preserve">. Obě Smluvní strany </w:t>
      </w:r>
      <w:r w:rsidR="008376F5" w:rsidRPr="008A4528">
        <w:t xml:space="preserve">sjednávají, že takto upravený úrok z prodlení je přiměřený. </w:t>
      </w:r>
    </w:p>
    <w:p w14:paraId="1999E3DB" w14:textId="77777777" w:rsidR="00BE12E8" w:rsidRPr="0058593F" w:rsidRDefault="00BE12E8" w:rsidP="00A36AF2">
      <w:pPr>
        <w:numPr>
          <w:ilvl w:val="0"/>
          <w:numId w:val="14"/>
        </w:numPr>
        <w:spacing w:after="120" w:line="240" w:lineRule="auto"/>
        <w:ind w:left="426" w:hanging="426"/>
        <w:jc w:val="both"/>
      </w:pPr>
      <w:bookmarkStart w:id="20" w:name="_Hlk510511764"/>
      <w:bookmarkEnd w:id="17"/>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4E2B29">
        <w:t>.</w:t>
      </w:r>
      <w:r w:rsidR="00B067C8" w:rsidRPr="0058593F">
        <w:t xml:space="preserve"> této Smlouv</w:t>
      </w:r>
      <w:r w:rsidRPr="0058593F">
        <w:t xml:space="preserve">y </w:t>
      </w:r>
      <w:bookmarkStart w:id="21"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1"/>
      <w:r w:rsidRPr="0058593F">
        <w:t xml:space="preserve">bude povinen zaplatit </w:t>
      </w:r>
      <w:r w:rsidR="00923C21">
        <w:t>Kupující</w:t>
      </w:r>
      <w:r w:rsidR="00587EF1">
        <w:t>mu</w:t>
      </w:r>
      <w:r w:rsidRPr="0058593F">
        <w:t xml:space="preserve"> </w:t>
      </w:r>
      <w:r w:rsidRPr="0084327C">
        <w:t>smluvní pokutu ve výši 100</w:t>
      </w:r>
      <w:r w:rsidR="00937F9B" w:rsidRPr="0084327C">
        <w:t xml:space="preserve"> </w:t>
      </w:r>
      <w:r w:rsidRPr="0084327C">
        <w:t>000 Kč za</w:t>
      </w:r>
      <w:r w:rsidRPr="0058593F">
        <w:t xml:space="preserve"> každé takové porušení</w:t>
      </w:r>
      <w:r w:rsidR="004E2B29">
        <w:t>.</w:t>
      </w:r>
    </w:p>
    <w:bookmarkEnd w:id="20"/>
    <w:p w14:paraId="3FC6FCDC" w14:textId="77777777" w:rsidR="00BE12E8" w:rsidRPr="008A4528" w:rsidRDefault="00BE12E8" w:rsidP="00A36AF2">
      <w:pPr>
        <w:numPr>
          <w:ilvl w:val="0"/>
          <w:numId w:val="14"/>
        </w:numPr>
        <w:spacing w:after="120" w:line="240" w:lineRule="auto"/>
        <w:ind w:left="426" w:hanging="426"/>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1B09E1">
        <w:t>5</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w:t>
      </w:r>
      <w:r w:rsidRPr="0084327C">
        <w:t>výši 20</w:t>
      </w:r>
      <w:r w:rsidR="00C06770" w:rsidRPr="0084327C">
        <w:t xml:space="preserve"> </w:t>
      </w:r>
      <w:r w:rsidRPr="0084327C">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4FDF5585" w14:textId="77777777" w:rsidR="00BE12E8" w:rsidRPr="00DC1937" w:rsidRDefault="00BE12E8" w:rsidP="00A36AF2">
      <w:pPr>
        <w:numPr>
          <w:ilvl w:val="0"/>
          <w:numId w:val="14"/>
        </w:numPr>
        <w:spacing w:after="120" w:line="240" w:lineRule="auto"/>
        <w:ind w:left="426" w:hanging="426"/>
        <w:jc w:val="both"/>
      </w:pPr>
      <w:bookmarkStart w:id="22" w:name="_Hlk510778545"/>
      <w:r w:rsidRPr="00DC1937">
        <w:t>Smluvní pokuty stanovené dle tohoto článku jsou splatné do 30 dnů ode dne doručení výzvy oprávněné strany k zaplacení smluvní pokuty povinné smluvní straně.</w:t>
      </w:r>
    </w:p>
    <w:p w14:paraId="45E0A1BD" w14:textId="77777777" w:rsidR="00DF0DA2" w:rsidRPr="00DC1937" w:rsidRDefault="00DF0DA2" w:rsidP="00A36AF2">
      <w:pPr>
        <w:numPr>
          <w:ilvl w:val="0"/>
          <w:numId w:val="14"/>
        </w:numPr>
        <w:spacing w:after="120" w:line="240" w:lineRule="auto"/>
        <w:ind w:left="426" w:hanging="426"/>
        <w:jc w:val="both"/>
      </w:pPr>
      <w:bookmarkStart w:id="23" w:name="_Hlk510778708"/>
      <w:bookmarkEnd w:id="22"/>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5A9A201" w14:textId="77777777" w:rsidR="00BE12E8" w:rsidRPr="00DC1937" w:rsidRDefault="00BE12E8" w:rsidP="00A36AF2">
      <w:pPr>
        <w:numPr>
          <w:ilvl w:val="0"/>
          <w:numId w:val="14"/>
        </w:numPr>
        <w:spacing w:after="120" w:line="240" w:lineRule="auto"/>
        <w:ind w:left="426" w:hanging="426"/>
        <w:jc w:val="both"/>
      </w:pPr>
      <w:bookmarkStart w:id="24" w:name="_Hlk510778694"/>
      <w:bookmarkEnd w:id="23"/>
      <w:r w:rsidRPr="00DC1937">
        <w:t xml:space="preserve">Oprávněnost nároku na smluvní pokutu není podmíněna žádnými formálními úkony ze strany </w:t>
      </w:r>
      <w:r w:rsidR="00923C21">
        <w:t>Kupující</w:t>
      </w:r>
      <w:r w:rsidR="00DF6593">
        <w:t>ho</w:t>
      </w:r>
      <w:r w:rsidRPr="00DC1937">
        <w:t>.</w:t>
      </w:r>
    </w:p>
    <w:p w14:paraId="67B8F21A" w14:textId="77777777" w:rsidR="00DC1937" w:rsidRPr="0056154C" w:rsidRDefault="00D917A1" w:rsidP="00A36AF2">
      <w:pPr>
        <w:numPr>
          <w:ilvl w:val="0"/>
          <w:numId w:val="14"/>
        </w:numPr>
        <w:spacing w:after="120" w:line="240" w:lineRule="auto"/>
        <w:ind w:left="426" w:hanging="426"/>
        <w:jc w:val="both"/>
      </w:pPr>
      <w:bookmarkStart w:id="25" w:name="_Hlk509488369"/>
      <w:bookmarkEnd w:id="24"/>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D2CC54F" w14:textId="77777777" w:rsidR="00DC1937" w:rsidRDefault="00DC1937" w:rsidP="00A36AF2">
      <w:pPr>
        <w:numPr>
          <w:ilvl w:val="0"/>
          <w:numId w:val="14"/>
        </w:numPr>
        <w:spacing w:after="480" w:line="240" w:lineRule="auto"/>
        <w:ind w:left="426" w:hanging="426"/>
        <w:jc w:val="both"/>
      </w:pPr>
      <w:bookmarkStart w:id="26"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99A36D2" w14:textId="77777777"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7" w:name="_Hlk511034553"/>
      <w:bookmarkEnd w:id="15"/>
      <w:bookmarkEnd w:id="25"/>
      <w:bookmarkEnd w:id="26"/>
      <w:r>
        <w:rPr>
          <w:color w:val="2F5496" w:themeColor="accent1" w:themeShade="BF"/>
        </w:rPr>
        <w:t xml:space="preserve"> </w:t>
      </w:r>
      <w:r w:rsidR="00BE12E8" w:rsidRPr="00DD7985">
        <w:rPr>
          <w:color w:val="2F5496" w:themeColor="accent1" w:themeShade="BF"/>
        </w:rPr>
        <w:t>Zánik závazků</w:t>
      </w:r>
    </w:p>
    <w:p w14:paraId="2C360F4D" w14:textId="77777777" w:rsidR="00BE12E8" w:rsidRPr="00F90E81" w:rsidRDefault="00BE12E8" w:rsidP="00A36AF2">
      <w:pPr>
        <w:numPr>
          <w:ilvl w:val="0"/>
          <w:numId w:val="16"/>
        </w:numPr>
        <w:spacing w:after="120" w:line="240" w:lineRule="auto"/>
        <w:ind w:left="426" w:hanging="426"/>
        <w:jc w:val="both"/>
      </w:pPr>
      <w:bookmarkStart w:id="28" w:name="_Hlk510778903"/>
      <w:r w:rsidRPr="00F90E81">
        <w:t>Smluvní strany se dohodly, že závazek ze smluvního vztahu zaniká v těchto případech:</w:t>
      </w:r>
    </w:p>
    <w:bookmarkEnd w:id="28"/>
    <w:p w14:paraId="30F5BDF0" w14:textId="77777777" w:rsidR="00BE12E8" w:rsidRPr="00F90E81" w:rsidRDefault="00BE12E8" w:rsidP="00A36AF2">
      <w:pPr>
        <w:pStyle w:val="Odstavecseseznamem"/>
        <w:numPr>
          <w:ilvl w:val="0"/>
          <w:numId w:val="15"/>
        </w:numPr>
        <w:ind w:left="993" w:hanging="285"/>
        <w:rPr>
          <w:sz w:val="22"/>
          <w:szCs w:val="22"/>
        </w:rPr>
      </w:pPr>
      <w:r w:rsidRPr="00F90E81">
        <w:rPr>
          <w:sz w:val="22"/>
          <w:szCs w:val="22"/>
        </w:rPr>
        <w:t>spln</w:t>
      </w:r>
      <w:r w:rsidR="004E483F" w:rsidRPr="00F90E81">
        <w:rPr>
          <w:sz w:val="22"/>
          <w:szCs w:val="22"/>
        </w:rPr>
        <w:t>ěním všech závazků řádně a včas,</w:t>
      </w:r>
    </w:p>
    <w:p w14:paraId="5E84662B" w14:textId="77777777" w:rsidR="002043AC" w:rsidRPr="00F90E81" w:rsidRDefault="00BC0CBB" w:rsidP="00A36AF2">
      <w:pPr>
        <w:pStyle w:val="Odrazka1zacislem"/>
        <w:numPr>
          <w:ilvl w:val="0"/>
          <w:numId w:val="23"/>
        </w:numPr>
        <w:ind w:left="993" w:hanging="284"/>
        <w:rPr>
          <w:rFonts w:asciiTheme="minorHAnsi" w:hAnsiTheme="minorHAnsi"/>
          <w:sz w:val="22"/>
          <w:szCs w:val="22"/>
        </w:rPr>
      </w:pPr>
      <w:bookmarkStart w:id="29"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30"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1" w:name="_Hlk510519190"/>
      <w:bookmarkEnd w:id="29"/>
    </w:p>
    <w:bookmarkEnd w:id="31"/>
    <w:p w14:paraId="1850727D" w14:textId="77777777" w:rsidR="002043AC" w:rsidRPr="00F90E81" w:rsidRDefault="002043AC" w:rsidP="00A36AF2">
      <w:pPr>
        <w:pStyle w:val="Odrazka1zacislem"/>
        <w:numPr>
          <w:ilvl w:val="0"/>
          <w:numId w:val="23"/>
        </w:numPr>
        <w:ind w:left="993" w:hanging="285"/>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 xml:space="preserve">ve znění pozdějších </w:t>
      </w:r>
      <w:r w:rsidR="00F90E81">
        <w:rPr>
          <w:rFonts w:asciiTheme="minorHAnsi" w:hAnsiTheme="minorHAnsi"/>
          <w:sz w:val="22"/>
          <w:szCs w:val="22"/>
        </w:rPr>
        <w:lastRenderedPageBreak/>
        <w:t>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6144EA58" w14:textId="77777777" w:rsidR="00E6136C" w:rsidRPr="00CB4AEB" w:rsidRDefault="002043AC" w:rsidP="00A36AF2">
      <w:pPr>
        <w:pStyle w:val="Odrazka1zacislem"/>
        <w:numPr>
          <w:ilvl w:val="0"/>
          <w:numId w:val="23"/>
        </w:numPr>
        <w:spacing w:after="120"/>
        <w:ind w:left="993" w:hanging="284"/>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30"/>
    </w:p>
    <w:p w14:paraId="2BDF1001" w14:textId="77777777" w:rsidR="002B3816" w:rsidRPr="00CB4AEB" w:rsidRDefault="00544602" w:rsidP="00A36AF2">
      <w:pPr>
        <w:numPr>
          <w:ilvl w:val="0"/>
          <w:numId w:val="16"/>
        </w:numPr>
        <w:spacing w:after="120" w:line="240" w:lineRule="auto"/>
        <w:ind w:left="426" w:hanging="426"/>
        <w:jc w:val="both"/>
      </w:pPr>
      <w:bookmarkStart w:id="32" w:name="_Hlk510517281"/>
      <w:r w:rsidRPr="00CB4AEB">
        <w:t xml:space="preserve">Za podstatné porušení Smlouvy ze strany </w:t>
      </w:r>
      <w:r w:rsidR="00C65DF2" w:rsidRPr="00CB4AEB">
        <w:t>Prodávajícího</w:t>
      </w:r>
      <w:r w:rsidRPr="00CB4AEB">
        <w:t xml:space="preserve"> se považuje</w:t>
      </w:r>
      <w:r w:rsidR="00A23200" w:rsidRPr="00CB4AEB">
        <w:t>:</w:t>
      </w:r>
    </w:p>
    <w:p w14:paraId="2775CEA1" w14:textId="77777777" w:rsidR="00BE12E8" w:rsidRPr="00CB4AEB" w:rsidRDefault="00F90499" w:rsidP="00A36AF2">
      <w:pPr>
        <w:pStyle w:val="Odstavecseseznamem"/>
        <w:numPr>
          <w:ilvl w:val="0"/>
          <w:numId w:val="15"/>
        </w:numPr>
        <w:ind w:left="993" w:hanging="285"/>
        <w:rPr>
          <w:sz w:val="22"/>
          <w:szCs w:val="22"/>
        </w:rPr>
      </w:pPr>
      <w:r w:rsidRPr="00CB4AEB">
        <w:rPr>
          <w:sz w:val="22"/>
          <w:szCs w:val="22"/>
        </w:rPr>
        <w:t>prodlení s předáním předmětu koupě</w:t>
      </w:r>
      <w:r w:rsidR="00A53C45" w:rsidRPr="00CB4AEB">
        <w:rPr>
          <w:sz w:val="22"/>
          <w:szCs w:val="22"/>
        </w:rPr>
        <w:t xml:space="preserve">, které nemělo prokazatelně příčinu na straně </w:t>
      </w:r>
      <w:r w:rsidR="00923C21" w:rsidRPr="00CB4AEB">
        <w:rPr>
          <w:sz w:val="22"/>
          <w:szCs w:val="22"/>
        </w:rPr>
        <w:t>Kupující</w:t>
      </w:r>
      <w:r w:rsidRPr="00CB4AEB">
        <w:rPr>
          <w:sz w:val="22"/>
          <w:szCs w:val="22"/>
        </w:rPr>
        <w:t>ho</w:t>
      </w:r>
      <w:r w:rsidR="00A53C45" w:rsidRPr="00CB4AEB">
        <w:rPr>
          <w:sz w:val="22"/>
          <w:szCs w:val="22"/>
        </w:rPr>
        <w:t>,</w:t>
      </w:r>
      <w:r w:rsidR="00BE12E8" w:rsidRPr="00CB4AEB">
        <w:rPr>
          <w:sz w:val="22"/>
          <w:szCs w:val="22"/>
        </w:rPr>
        <w:t xml:space="preserve"> déle než </w:t>
      </w:r>
      <w:r w:rsidR="0084327C" w:rsidRPr="00CB4AEB">
        <w:rPr>
          <w:sz w:val="22"/>
          <w:szCs w:val="22"/>
        </w:rPr>
        <w:t>10</w:t>
      </w:r>
      <w:r w:rsidR="00BE12E8" w:rsidRPr="00CB4AEB">
        <w:rPr>
          <w:sz w:val="22"/>
          <w:szCs w:val="22"/>
        </w:rPr>
        <w:t xml:space="preserve"> </w:t>
      </w:r>
      <w:r w:rsidR="00AD5D0B" w:rsidRPr="00CB4AEB">
        <w:rPr>
          <w:sz w:val="22"/>
          <w:szCs w:val="22"/>
        </w:rPr>
        <w:t>pracovních</w:t>
      </w:r>
      <w:r w:rsidR="001E5416" w:rsidRPr="00CB4AEB">
        <w:rPr>
          <w:sz w:val="22"/>
          <w:szCs w:val="22"/>
        </w:rPr>
        <w:t xml:space="preserve"> dnů,</w:t>
      </w:r>
    </w:p>
    <w:p w14:paraId="6D84CF47" w14:textId="77777777" w:rsidR="00BE12E8" w:rsidRPr="00CB4AEB" w:rsidRDefault="00BE12E8" w:rsidP="00A36AF2">
      <w:pPr>
        <w:pStyle w:val="Odstavecseseznamem"/>
        <w:numPr>
          <w:ilvl w:val="0"/>
          <w:numId w:val="15"/>
        </w:numPr>
        <w:ind w:left="993" w:hanging="285"/>
        <w:rPr>
          <w:sz w:val="22"/>
          <w:szCs w:val="22"/>
        </w:rPr>
      </w:pPr>
      <w:r w:rsidRPr="00CB4AEB">
        <w:rPr>
          <w:sz w:val="22"/>
          <w:szCs w:val="22"/>
        </w:rPr>
        <w:t xml:space="preserve">zpoždění s plněním jakékoliv povinnosti stanovené touto </w:t>
      </w:r>
      <w:r w:rsidR="00B067C8" w:rsidRPr="00CB4AEB">
        <w:rPr>
          <w:sz w:val="22"/>
          <w:szCs w:val="22"/>
        </w:rPr>
        <w:t>Smlouv</w:t>
      </w:r>
      <w:r w:rsidRPr="00CB4AEB">
        <w:rPr>
          <w:sz w:val="22"/>
          <w:szCs w:val="22"/>
        </w:rPr>
        <w:t xml:space="preserve">ou o více než 10 </w:t>
      </w:r>
      <w:r w:rsidR="00AD5D0B" w:rsidRPr="00CB4AEB">
        <w:rPr>
          <w:sz w:val="22"/>
          <w:szCs w:val="22"/>
        </w:rPr>
        <w:t>pracovních</w:t>
      </w:r>
      <w:r w:rsidR="002B3816" w:rsidRPr="00CB4AEB">
        <w:rPr>
          <w:sz w:val="22"/>
          <w:szCs w:val="22"/>
        </w:rPr>
        <w:t xml:space="preserve"> dnů,</w:t>
      </w:r>
    </w:p>
    <w:p w14:paraId="1B10BA00" w14:textId="77777777" w:rsidR="00BE12E8" w:rsidRPr="00CB4AEB" w:rsidRDefault="00BE12E8" w:rsidP="00A36AF2">
      <w:pPr>
        <w:numPr>
          <w:ilvl w:val="0"/>
          <w:numId w:val="16"/>
        </w:numPr>
        <w:spacing w:after="120" w:line="240" w:lineRule="auto"/>
        <w:ind w:left="426" w:hanging="426"/>
        <w:jc w:val="both"/>
      </w:pPr>
      <w:r w:rsidRPr="00CB4AEB">
        <w:t xml:space="preserve">Odstoupení od </w:t>
      </w:r>
      <w:r w:rsidR="00B067C8" w:rsidRPr="00CB4AEB">
        <w:t>Smlouv</w:t>
      </w:r>
      <w:r w:rsidRPr="00CB4AEB">
        <w:t>y se dále řídí ustanovením § 2001 a násl. OZ.</w:t>
      </w:r>
    </w:p>
    <w:p w14:paraId="6BBC585B" w14:textId="77777777" w:rsidR="00BE12E8" w:rsidRPr="00CB4AEB" w:rsidRDefault="00BE12E8" w:rsidP="00A36AF2">
      <w:pPr>
        <w:numPr>
          <w:ilvl w:val="0"/>
          <w:numId w:val="16"/>
        </w:numPr>
        <w:spacing w:after="120" w:line="240" w:lineRule="auto"/>
        <w:ind w:left="426" w:hanging="426"/>
        <w:jc w:val="both"/>
      </w:pPr>
      <w:r w:rsidRPr="00CB4AEB">
        <w:t xml:space="preserve">Chce-li některá ze stran od této </w:t>
      </w:r>
      <w:r w:rsidR="00B067C8" w:rsidRPr="00CB4AEB">
        <w:t>Smlouv</w:t>
      </w:r>
      <w:r w:rsidRPr="00CB4AEB">
        <w:t xml:space="preserve">y odstoupit na základě ujednání této </w:t>
      </w:r>
      <w:r w:rsidR="00B067C8" w:rsidRPr="00CB4AEB">
        <w:t>Smlouv</w:t>
      </w:r>
      <w:r w:rsidRPr="00CB4AEB">
        <w:t xml:space="preserve">y, je povinna svoje odstoupení písemně oznámit druhé straně. V odstoupení musí být uveden důvod, pro který strana od </w:t>
      </w:r>
      <w:r w:rsidR="00B067C8" w:rsidRPr="00CB4AEB">
        <w:t>Smlouv</w:t>
      </w:r>
      <w:r w:rsidRPr="00CB4AEB">
        <w:t xml:space="preserve">y odstupuje a přesná citace ustanovení </w:t>
      </w:r>
      <w:r w:rsidR="00B067C8" w:rsidRPr="00CB4AEB">
        <w:t>Smlouv</w:t>
      </w:r>
      <w:r w:rsidRPr="00CB4AEB">
        <w:t xml:space="preserve">y, na jehož základě od </w:t>
      </w:r>
      <w:r w:rsidR="00B067C8" w:rsidRPr="00CB4AEB">
        <w:t>Smlouv</w:t>
      </w:r>
      <w:r w:rsidRPr="00CB4AEB">
        <w:t>y odstupuje, jinak je odstoupení neplatné.</w:t>
      </w:r>
    </w:p>
    <w:p w14:paraId="33968A67" w14:textId="77777777" w:rsidR="00BE12E8" w:rsidRPr="0056154C" w:rsidRDefault="00BE12E8" w:rsidP="00A36AF2">
      <w:pPr>
        <w:numPr>
          <w:ilvl w:val="0"/>
          <w:numId w:val="16"/>
        </w:numPr>
        <w:spacing w:after="120" w:line="240" w:lineRule="auto"/>
        <w:ind w:left="426" w:hanging="426"/>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31486843" w14:textId="77777777" w:rsidR="00BE12E8" w:rsidRPr="0056154C" w:rsidRDefault="00BE12E8" w:rsidP="00A36AF2">
      <w:pPr>
        <w:numPr>
          <w:ilvl w:val="0"/>
          <w:numId w:val="16"/>
        </w:numPr>
        <w:spacing w:after="120" w:line="240" w:lineRule="auto"/>
        <w:ind w:left="426" w:hanging="426"/>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41D499D2" w14:textId="77777777" w:rsidR="00BE12E8" w:rsidRPr="0056154C" w:rsidRDefault="00BE12E8" w:rsidP="00A36AF2">
      <w:pPr>
        <w:numPr>
          <w:ilvl w:val="0"/>
          <w:numId w:val="16"/>
        </w:numPr>
        <w:spacing w:after="120" w:line="240" w:lineRule="auto"/>
        <w:ind w:left="426" w:hanging="426"/>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141DF212" w14:textId="77777777" w:rsidR="00BE12E8" w:rsidRPr="009F2373" w:rsidRDefault="00BE12E8" w:rsidP="00A36AF2">
      <w:pPr>
        <w:numPr>
          <w:ilvl w:val="0"/>
          <w:numId w:val="16"/>
        </w:numPr>
        <w:spacing w:after="480" w:line="240" w:lineRule="auto"/>
        <w:ind w:left="426" w:hanging="426"/>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2"/>
    <w:p w14:paraId="5BDC5BC7" w14:textId="7777777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2FB9C6D2" w14:textId="77777777" w:rsidR="002043AC" w:rsidRPr="008A2743" w:rsidRDefault="002043AC" w:rsidP="00A36AF2">
      <w:pPr>
        <w:numPr>
          <w:ilvl w:val="0"/>
          <w:numId w:val="21"/>
        </w:numPr>
        <w:spacing w:after="60" w:line="240" w:lineRule="auto"/>
        <w:ind w:left="426" w:hanging="426"/>
        <w:jc w:val="both"/>
      </w:pPr>
      <w:r w:rsidRPr="008A2743">
        <w:t>Tato Smlouva nabývá platnosti dnem jejího podpisu oběma Smluvními stranami.</w:t>
      </w:r>
    </w:p>
    <w:p w14:paraId="050D44DA" w14:textId="77777777" w:rsidR="002043AC" w:rsidRPr="00A743BF" w:rsidRDefault="002043AC" w:rsidP="00A36AF2">
      <w:pPr>
        <w:numPr>
          <w:ilvl w:val="0"/>
          <w:numId w:val="21"/>
        </w:numPr>
        <w:spacing w:after="48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7"/>
    <w:p w14:paraId="69171B83" w14:textId="77777777"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68752E6" w14:textId="77777777" w:rsidR="00AD5D0B" w:rsidRPr="0033106F" w:rsidRDefault="00AD5D0B" w:rsidP="00A36AF2">
      <w:pPr>
        <w:numPr>
          <w:ilvl w:val="0"/>
          <w:numId w:val="19"/>
        </w:numPr>
        <w:spacing w:after="6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00840106" w14:textId="77777777" w:rsidR="00AD5D0B" w:rsidRPr="0033106F" w:rsidRDefault="00AD5D0B" w:rsidP="00A36AF2">
      <w:pPr>
        <w:numPr>
          <w:ilvl w:val="0"/>
          <w:numId w:val="19"/>
        </w:numPr>
        <w:spacing w:after="60" w:line="240" w:lineRule="auto"/>
        <w:ind w:left="426" w:hanging="426"/>
        <w:jc w:val="both"/>
      </w:pPr>
      <w:r w:rsidRPr="0033106F">
        <w:lastRenderedPageBreak/>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6327F0E2" w14:textId="77777777" w:rsidR="00AD5D0B" w:rsidRDefault="00AD5D0B" w:rsidP="00A36AF2">
      <w:pPr>
        <w:numPr>
          <w:ilvl w:val="0"/>
          <w:numId w:val="19"/>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0E5106AA" w14:textId="77777777" w:rsidR="00AD5D0B" w:rsidRDefault="00AD5D0B" w:rsidP="00A36AF2">
      <w:pPr>
        <w:numPr>
          <w:ilvl w:val="0"/>
          <w:numId w:val="19"/>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557970A9" w14:textId="77777777" w:rsidR="00AD5D0B" w:rsidRDefault="00AD5D0B" w:rsidP="00A36AF2">
      <w:pPr>
        <w:numPr>
          <w:ilvl w:val="0"/>
          <w:numId w:val="19"/>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2EE3F97C" w14:textId="77777777" w:rsidR="00AD5D0B" w:rsidRDefault="00AD5D0B" w:rsidP="00A36AF2">
      <w:pPr>
        <w:numPr>
          <w:ilvl w:val="0"/>
          <w:numId w:val="19"/>
        </w:numPr>
        <w:spacing w:after="6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7AE6C7B6" w14:textId="77777777" w:rsidR="00605F50" w:rsidRDefault="00923C21" w:rsidP="00A36AF2">
      <w:pPr>
        <w:numPr>
          <w:ilvl w:val="0"/>
          <w:numId w:val="19"/>
        </w:numPr>
        <w:spacing w:after="60" w:line="240" w:lineRule="auto"/>
        <w:ind w:left="426" w:hanging="426"/>
        <w:jc w:val="both"/>
      </w:pPr>
      <w:bookmarkStart w:id="33"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p w14:paraId="49F5125E" w14:textId="3126D1E4" w:rsidR="00CA228B" w:rsidRDefault="00CA228B" w:rsidP="00A36AF2">
      <w:pPr>
        <w:numPr>
          <w:ilvl w:val="0"/>
          <w:numId w:val="19"/>
        </w:numPr>
        <w:spacing w:after="60" w:line="240" w:lineRule="auto"/>
        <w:ind w:left="426" w:hanging="426"/>
        <w:jc w:val="both"/>
      </w:pPr>
      <w:r w:rsidRPr="00CA228B">
        <w:t>Dodavatel je povinen uchovávat veškerou dokumentaci související s realizací projektů včetně účetních dokladů minimálně do konce roku 2036. Pokud je v českých právních předpisech stanovena lhůta delší, musí ji dodavatel použít.</w:t>
      </w:r>
    </w:p>
    <w:p w14:paraId="02887DC4" w14:textId="008265EC" w:rsidR="007D28B5" w:rsidRPr="008A2743" w:rsidRDefault="00CA228B" w:rsidP="00A36AF2">
      <w:pPr>
        <w:numPr>
          <w:ilvl w:val="0"/>
          <w:numId w:val="19"/>
        </w:numPr>
        <w:spacing w:after="60" w:line="240" w:lineRule="auto"/>
        <w:ind w:left="426" w:hanging="426"/>
        <w:jc w:val="both"/>
      </w:pPr>
      <w:r w:rsidRPr="00CA228B">
        <w:t>Dodavatel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projektů a poskytnout jim při provádění kontroly součinnost.</w:t>
      </w:r>
    </w:p>
    <w:bookmarkEnd w:id="33"/>
    <w:p w14:paraId="6F9A7609" w14:textId="3F8CD741" w:rsidR="00AD5D0B" w:rsidRDefault="00CA228B" w:rsidP="00A36AF2">
      <w:pPr>
        <w:numPr>
          <w:ilvl w:val="0"/>
          <w:numId w:val="19"/>
        </w:numPr>
        <w:spacing w:after="60" w:line="240" w:lineRule="auto"/>
        <w:ind w:left="426" w:hanging="426"/>
        <w:jc w:val="both"/>
      </w:pPr>
      <w:r w:rsidRPr="00CA228B">
        <w:t>Tato smlouva je vyhotovena v 1 originále, který je elektronicky podepsaný oběma smluvními stranami.</w:t>
      </w:r>
    </w:p>
    <w:p w14:paraId="13AF2A83" w14:textId="77777777" w:rsidR="00DC2159" w:rsidRDefault="00AD5D0B" w:rsidP="00A36AF2">
      <w:pPr>
        <w:numPr>
          <w:ilvl w:val="0"/>
          <w:numId w:val="19"/>
        </w:numPr>
        <w:spacing w:after="60" w:line="240" w:lineRule="auto"/>
        <w:ind w:left="426" w:hanging="426"/>
        <w:jc w:val="both"/>
      </w:pPr>
      <w:r>
        <w:t xml:space="preserve">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w:t>
      </w:r>
      <w:r>
        <w:lastRenderedPageBreak/>
        <w:t>Smlouvu učinit neplatnou nebo neúčinnou, nebo zmařit její účel a cíl tak, jak jej ve Smlouvě společně deklarovaly.</w:t>
      </w:r>
    </w:p>
    <w:p w14:paraId="41FEA527" w14:textId="77777777"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6112A088" w14:textId="77777777" w:rsidR="00AD5D0B" w:rsidRDefault="00AD5D0B" w:rsidP="00A36AF2">
      <w:pPr>
        <w:numPr>
          <w:ilvl w:val="0"/>
          <w:numId w:val="5"/>
        </w:numPr>
        <w:spacing w:after="0" w:line="276" w:lineRule="auto"/>
        <w:ind w:left="426" w:hanging="426"/>
        <w:jc w:val="both"/>
      </w:pPr>
      <w:r>
        <w:t>Součástí Smlouvy jsou tyto přílohy:</w:t>
      </w:r>
    </w:p>
    <w:p w14:paraId="22A579AB" w14:textId="77777777" w:rsidR="00BE12E8" w:rsidRPr="00A743BF" w:rsidRDefault="00BE12E8" w:rsidP="00CB4AEB">
      <w:pPr>
        <w:spacing w:after="0" w:line="276"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41395D0D" w14:textId="77777777" w:rsidR="00811D72" w:rsidRDefault="00BE12E8" w:rsidP="00CB4AEB">
      <w:pPr>
        <w:spacing w:after="0" w:line="276" w:lineRule="auto"/>
        <w:ind w:left="709"/>
        <w:rPr>
          <w:szCs w:val="20"/>
        </w:rPr>
      </w:pPr>
      <w:r w:rsidRPr="00A743BF">
        <w:rPr>
          <w:szCs w:val="20"/>
        </w:rPr>
        <w:t xml:space="preserve">Příloha č. </w:t>
      </w:r>
      <w:r w:rsidR="0084327C">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50B3A3F2" w14:textId="77777777" w:rsidR="00811D72" w:rsidRPr="00811D72" w:rsidRDefault="00811D72" w:rsidP="00CB4AEB">
      <w:pPr>
        <w:spacing w:after="0" w:line="276" w:lineRule="auto"/>
        <w:ind w:left="1416"/>
        <w:rPr>
          <w:szCs w:val="20"/>
        </w:rPr>
      </w:pPr>
      <w:r>
        <w:rPr>
          <w:szCs w:val="20"/>
        </w:rPr>
        <w:t xml:space="preserve">          </w:t>
      </w:r>
      <w:r w:rsidRPr="00811D72">
        <w:rPr>
          <w:szCs w:val="20"/>
        </w:rPr>
        <w:t>softwarového vybavení</w:t>
      </w:r>
    </w:p>
    <w:p w14:paraId="16A56E28" w14:textId="77777777" w:rsidR="00186E5E" w:rsidRPr="00A743BF" w:rsidRDefault="00186E5E" w:rsidP="00CB4AEB">
      <w:pPr>
        <w:spacing w:after="0" w:line="276" w:lineRule="auto"/>
        <w:ind w:left="708"/>
        <w:rPr>
          <w:szCs w:val="20"/>
        </w:rPr>
      </w:pPr>
      <w:r w:rsidRPr="00A743BF">
        <w:rPr>
          <w:szCs w:val="20"/>
        </w:rPr>
        <w:t xml:space="preserve">Příloha č. </w:t>
      </w:r>
      <w:r w:rsidR="0084327C">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637FB5F1" w14:textId="77777777" w:rsidR="00811D72" w:rsidRPr="00811D72" w:rsidRDefault="00811D72" w:rsidP="00CB4AEB">
      <w:pPr>
        <w:spacing w:after="0" w:line="276" w:lineRule="auto"/>
        <w:ind w:left="708"/>
        <w:rPr>
          <w:szCs w:val="20"/>
        </w:rPr>
      </w:pPr>
      <w:r w:rsidRPr="00811D72">
        <w:rPr>
          <w:szCs w:val="20"/>
        </w:rPr>
        <w:t xml:space="preserve">Příloha č. </w:t>
      </w:r>
      <w:r w:rsidR="0084327C">
        <w:rPr>
          <w:szCs w:val="20"/>
        </w:rPr>
        <w:t>4</w:t>
      </w:r>
      <w:r w:rsidRPr="00811D72">
        <w:rPr>
          <w:szCs w:val="20"/>
        </w:rPr>
        <w:t xml:space="preserve"> – Požadavky na součinnost </w:t>
      </w:r>
      <w:r w:rsidR="00923C21">
        <w:rPr>
          <w:szCs w:val="20"/>
        </w:rPr>
        <w:t>Kupující</w:t>
      </w:r>
      <w:r w:rsidR="00C5158F">
        <w:rPr>
          <w:szCs w:val="20"/>
        </w:rPr>
        <w:t>ho</w:t>
      </w:r>
    </w:p>
    <w:p w14:paraId="3573CE58" w14:textId="77777777" w:rsidR="00BE12E8" w:rsidRDefault="00BE12E8" w:rsidP="00CB4AEB">
      <w:pPr>
        <w:spacing w:after="0" w:line="276" w:lineRule="auto"/>
        <w:ind w:left="708"/>
        <w:rPr>
          <w:szCs w:val="20"/>
        </w:rPr>
      </w:pPr>
      <w:r w:rsidRPr="00A743BF">
        <w:rPr>
          <w:szCs w:val="20"/>
        </w:rPr>
        <w:t xml:space="preserve">Příloha č. </w:t>
      </w:r>
      <w:r w:rsidR="0084327C">
        <w:rPr>
          <w:szCs w:val="20"/>
        </w:rPr>
        <w:t>5</w:t>
      </w:r>
      <w:r w:rsidR="00F90E81">
        <w:rPr>
          <w:szCs w:val="20"/>
        </w:rPr>
        <w:t xml:space="preserve"> </w:t>
      </w:r>
      <w:r w:rsidR="002026BC" w:rsidRPr="00A743BF">
        <w:rPr>
          <w:szCs w:val="20"/>
        </w:rPr>
        <w:t>– Zodpovědné</w:t>
      </w:r>
      <w:r w:rsidRPr="00A743BF">
        <w:rPr>
          <w:szCs w:val="20"/>
        </w:rPr>
        <w:t xml:space="preserve"> osoby</w:t>
      </w:r>
    </w:p>
    <w:p w14:paraId="36BFE01C" w14:textId="77777777" w:rsidR="00F90E81" w:rsidRDefault="00F90E81" w:rsidP="002B78CF">
      <w:pPr>
        <w:spacing w:after="60" w:line="276" w:lineRule="auto"/>
        <w:ind w:left="1985" w:hanging="1276"/>
        <w:rPr>
          <w:szCs w:val="20"/>
        </w:rPr>
      </w:pPr>
      <w:r w:rsidRPr="00A743BF">
        <w:rPr>
          <w:szCs w:val="20"/>
        </w:rPr>
        <w:t xml:space="preserve">Příloha č. </w:t>
      </w:r>
      <w:r w:rsidR="0084327C">
        <w:rPr>
          <w:szCs w:val="20"/>
        </w:rPr>
        <w:t>6</w:t>
      </w:r>
      <w:r>
        <w:rPr>
          <w:szCs w:val="20"/>
        </w:rPr>
        <w:t xml:space="preserve"> </w:t>
      </w:r>
      <w:r w:rsidRPr="00A743BF">
        <w:rPr>
          <w:szCs w:val="20"/>
        </w:rPr>
        <w:t>– Bezpečnostní</w:t>
      </w:r>
      <w:r w:rsidRPr="007D741A">
        <w:rPr>
          <w:szCs w:val="20"/>
        </w:rPr>
        <w:t xml:space="preserve"> požadavky </w:t>
      </w:r>
    </w:p>
    <w:p w14:paraId="7A05595A" w14:textId="77777777" w:rsidR="000769C2" w:rsidRPr="00A46892" w:rsidRDefault="000769C2" w:rsidP="00A36AF2">
      <w:pPr>
        <w:numPr>
          <w:ilvl w:val="0"/>
          <w:numId w:val="5"/>
        </w:numPr>
        <w:spacing w:after="60" w:line="240" w:lineRule="auto"/>
        <w:ind w:left="426" w:hanging="426"/>
        <w:jc w:val="both"/>
      </w:pPr>
      <w:bookmarkStart w:id="34"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4"/>
    <w:p w14:paraId="3A41C0F7" w14:textId="77777777" w:rsidR="0084327C" w:rsidRDefault="0084327C" w:rsidP="00BE12E8">
      <w:pPr>
        <w:ind w:right="-766"/>
        <w:jc w:val="both"/>
      </w:pPr>
    </w:p>
    <w:p w14:paraId="07949388" w14:textId="77777777" w:rsidR="002A665E" w:rsidRPr="00CB4AEB" w:rsidRDefault="006C6BD0" w:rsidP="00A36AF2">
      <w:pPr>
        <w:tabs>
          <w:tab w:val="left" w:pos="5245"/>
        </w:tabs>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69EC8D0A" w14:textId="1863CA01" w:rsidR="002A665E" w:rsidRDefault="002A665E" w:rsidP="002A665E">
      <w:pPr>
        <w:spacing w:before="120" w:after="120"/>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ab/>
      </w:r>
      <w:r w:rsidRPr="00A0362A">
        <w:tab/>
      </w:r>
      <w:r w:rsidRPr="00A0362A">
        <w:tab/>
      </w:r>
      <w:r w:rsidRPr="00A0362A">
        <w:tab/>
        <w:t xml:space="preserve">      V</w:t>
      </w:r>
      <w:r>
        <w:t xml:space="preserve"> </w:t>
      </w:r>
      <w:r w:rsidRPr="00F10F49">
        <w:rPr>
          <w:highlight w:val="yellow"/>
        </w:rPr>
        <w:t>……………………….</w:t>
      </w:r>
      <w:r>
        <w:t xml:space="preserve"> </w:t>
      </w:r>
      <w:r w:rsidRPr="00A0362A">
        <w:t>dne</w:t>
      </w:r>
    </w:p>
    <w:p w14:paraId="32EBA129" w14:textId="77777777" w:rsidR="002A665E" w:rsidRDefault="002A665E" w:rsidP="002A665E">
      <w:pPr>
        <w:spacing w:before="120" w:after="120"/>
      </w:pPr>
    </w:p>
    <w:p w14:paraId="14926449" w14:textId="77777777" w:rsidR="00CB4AEB" w:rsidRDefault="00CB4AEB" w:rsidP="002A665E">
      <w:pPr>
        <w:spacing w:before="120" w:after="120"/>
      </w:pPr>
    </w:p>
    <w:p w14:paraId="4F1DF572" w14:textId="77777777" w:rsidR="00CB4AEB" w:rsidRDefault="00CB4AEB" w:rsidP="002A665E">
      <w:pPr>
        <w:spacing w:before="120" w:after="120"/>
      </w:pPr>
    </w:p>
    <w:p w14:paraId="270B162F" w14:textId="77777777" w:rsidR="009844F9" w:rsidRDefault="009844F9" w:rsidP="002A665E">
      <w:pPr>
        <w:spacing w:before="120" w:after="120"/>
      </w:pPr>
    </w:p>
    <w:p w14:paraId="4B5E07B5" w14:textId="10D29675" w:rsidR="002A665E" w:rsidRDefault="002A665E" w:rsidP="00486674">
      <w:pPr>
        <w:tabs>
          <w:tab w:val="left" w:pos="3119"/>
          <w:tab w:val="left" w:pos="3544"/>
          <w:tab w:val="left" w:pos="3686"/>
          <w:tab w:val="left" w:pos="5245"/>
        </w:tabs>
        <w:spacing w:after="0" w:line="240" w:lineRule="auto"/>
      </w:pPr>
      <w:r>
        <w:t>…………..…………………………………</w:t>
      </w:r>
      <w:r w:rsidR="00A36AF2">
        <w:t>…</w:t>
      </w:r>
      <w:r>
        <w:t>…</w:t>
      </w:r>
      <w:r w:rsidR="009844F9">
        <w:t>……</w:t>
      </w:r>
      <w:r w:rsidR="00A36AF2">
        <w:tab/>
      </w:r>
      <w:r w:rsidR="00486674">
        <w:tab/>
      </w:r>
      <w:r w:rsidR="00486674">
        <w:tab/>
      </w:r>
      <w:r>
        <w:t>…………………………………………</w:t>
      </w:r>
      <w:r w:rsidR="00A36AF2">
        <w:t>…..</w:t>
      </w:r>
      <w:r>
        <w:t>…</w:t>
      </w:r>
      <w:r w:rsidR="009844F9">
        <w:t>……</w:t>
      </w:r>
    </w:p>
    <w:p w14:paraId="715A76CE" w14:textId="43415D93" w:rsidR="002A665E" w:rsidRDefault="002A665E" w:rsidP="009844F9">
      <w:pPr>
        <w:tabs>
          <w:tab w:val="left" w:pos="5245"/>
        </w:tabs>
        <w:spacing w:after="0" w:line="240" w:lineRule="auto"/>
      </w:pPr>
      <w:r>
        <w:t>MUDr. Tomáš Gottvald, MHA</w:t>
      </w:r>
      <w:r>
        <w:tab/>
      </w:r>
      <w:r>
        <w:rPr>
          <w:highlight w:val="yellow"/>
        </w:rPr>
        <w:t>jméno</w:t>
      </w:r>
    </w:p>
    <w:p w14:paraId="368CA4B0" w14:textId="709BC66C" w:rsidR="002A665E" w:rsidRDefault="002A665E" w:rsidP="009844F9">
      <w:pPr>
        <w:tabs>
          <w:tab w:val="left" w:pos="5245"/>
        </w:tabs>
        <w:spacing w:after="0" w:line="240" w:lineRule="auto"/>
      </w:pPr>
      <w:r>
        <w:t>předseda představenstva</w:t>
      </w:r>
      <w:r>
        <w:tab/>
      </w:r>
      <w:r>
        <w:rPr>
          <w:highlight w:val="yellow"/>
        </w:rPr>
        <w:t>pozice</w:t>
      </w:r>
      <w:r>
        <w:tab/>
      </w:r>
    </w:p>
    <w:p w14:paraId="4C96C47C" w14:textId="77777777" w:rsidR="002A665E" w:rsidRDefault="002A665E" w:rsidP="002A665E">
      <w:pPr>
        <w:spacing w:before="120" w:after="120"/>
      </w:pPr>
    </w:p>
    <w:p w14:paraId="4EFCAD00" w14:textId="77777777" w:rsidR="002A665E" w:rsidRDefault="002A665E" w:rsidP="002A665E">
      <w:pPr>
        <w:spacing w:before="120" w:after="120"/>
      </w:pPr>
    </w:p>
    <w:p w14:paraId="225A090A" w14:textId="77777777" w:rsidR="009844F9" w:rsidRDefault="009844F9" w:rsidP="002A665E">
      <w:pPr>
        <w:spacing w:before="120" w:after="120"/>
      </w:pPr>
    </w:p>
    <w:p w14:paraId="7BF0DF57" w14:textId="77777777" w:rsidR="00CB4AEB" w:rsidRDefault="00CB4AEB" w:rsidP="002A665E">
      <w:pPr>
        <w:spacing w:before="120" w:after="120"/>
      </w:pPr>
    </w:p>
    <w:p w14:paraId="62B50D68" w14:textId="79E2CC1C" w:rsidR="002A665E" w:rsidRDefault="002A665E" w:rsidP="009844F9">
      <w:pPr>
        <w:tabs>
          <w:tab w:val="left" w:pos="5245"/>
        </w:tabs>
        <w:spacing w:before="120" w:after="0" w:line="240" w:lineRule="auto"/>
      </w:pPr>
      <w:r>
        <w:t>………..……………………………………</w:t>
      </w:r>
      <w:r w:rsidR="009844F9">
        <w:t>…………</w:t>
      </w:r>
      <w:r w:rsidR="00486674">
        <w:t>.</w:t>
      </w:r>
      <w:r>
        <w:tab/>
        <w:t>……………………………………………</w:t>
      </w:r>
      <w:r w:rsidR="00A36AF2">
        <w:t>…..</w:t>
      </w:r>
      <w:r>
        <w:t>.</w:t>
      </w:r>
      <w:r w:rsidR="009844F9">
        <w:t>......</w:t>
      </w:r>
      <w:r>
        <w:tab/>
      </w:r>
    </w:p>
    <w:p w14:paraId="56D031E9" w14:textId="3150AD94" w:rsidR="002A665E" w:rsidRDefault="009844F9" w:rsidP="009844F9">
      <w:pPr>
        <w:tabs>
          <w:tab w:val="left" w:pos="5245"/>
        </w:tabs>
        <w:spacing w:after="0" w:line="240" w:lineRule="auto"/>
      </w:pPr>
      <w:r w:rsidRPr="009844F9">
        <w:t>MUDr. Vladimír Ninger, Ph.D., MBA</w:t>
      </w:r>
      <w:r w:rsidR="002A665E">
        <w:tab/>
      </w:r>
      <w:r w:rsidR="002A665E">
        <w:rPr>
          <w:highlight w:val="yellow"/>
        </w:rPr>
        <w:t>jméno</w:t>
      </w:r>
    </w:p>
    <w:p w14:paraId="0C179D67" w14:textId="3FFA4691" w:rsidR="002A665E" w:rsidRDefault="009844F9" w:rsidP="009844F9">
      <w:pPr>
        <w:tabs>
          <w:tab w:val="left" w:pos="5245"/>
        </w:tabs>
        <w:spacing w:after="0" w:line="240" w:lineRule="auto"/>
      </w:pPr>
      <w:r>
        <w:t>člen</w:t>
      </w:r>
      <w:r w:rsidR="002A665E">
        <w:t xml:space="preserve"> představenstva</w:t>
      </w:r>
      <w:r w:rsidR="002A665E">
        <w:tab/>
      </w:r>
      <w:r w:rsidR="002A665E">
        <w:rPr>
          <w:highlight w:val="yellow"/>
        </w:rPr>
        <w:t>pozice</w:t>
      </w:r>
      <w:r w:rsidR="002A665E">
        <w:tab/>
      </w:r>
      <w:r w:rsidR="002A665E">
        <w:tab/>
      </w:r>
      <w:r w:rsidR="002A665E">
        <w:tab/>
      </w:r>
    </w:p>
    <w:p w14:paraId="00FE1F29" w14:textId="77777777" w:rsidR="002A665E" w:rsidRDefault="002A665E" w:rsidP="002A665E">
      <w:pPr>
        <w:rPr>
          <w:b/>
          <w:sz w:val="24"/>
          <w:szCs w:val="20"/>
        </w:rPr>
      </w:pPr>
      <w:r>
        <w:rPr>
          <w:b/>
          <w:sz w:val="24"/>
          <w:szCs w:val="20"/>
        </w:rPr>
        <w:br w:type="page"/>
      </w:r>
    </w:p>
    <w:p w14:paraId="2FFE17DA" w14:textId="77777777" w:rsidR="006C6BD0" w:rsidRDefault="006C6BD0" w:rsidP="006C6BD0">
      <w:pPr>
        <w:rPr>
          <w:b/>
          <w:sz w:val="24"/>
          <w:szCs w:val="20"/>
        </w:rPr>
      </w:pPr>
    </w:p>
    <w:p w14:paraId="41E5C343" w14:textId="77777777" w:rsidR="00095115" w:rsidRDefault="005C0549" w:rsidP="0025358A">
      <w:pPr>
        <w:pStyle w:val="Nadpis1"/>
        <w:keepNext w:val="0"/>
        <w:tabs>
          <w:tab w:val="left" w:pos="0"/>
        </w:tabs>
        <w:spacing w:before="120" w:after="240" w:line="240" w:lineRule="auto"/>
        <w:jc w:val="both"/>
        <w:rPr>
          <w:rFonts w:asciiTheme="minorHAnsi" w:hAnsiTheme="minorHAnsi"/>
          <w:color w:val="auto"/>
          <w:szCs w:val="22"/>
        </w:rPr>
      </w:pPr>
      <w:bookmarkStart w:id="35"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2680C81B" w14:textId="77777777"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35897F0A" w14:textId="77777777" w:rsidR="00D67196" w:rsidRDefault="000163A7" w:rsidP="00D67196">
      <w:bookmarkStart w:id="36" w:name="_Hlk506979792"/>
      <w:bookmarkEnd w:id="35"/>
      <w:r>
        <w:rPr>
          <w:szCs w:val="20"/>
        </w:rPr>
        <w:t xml:space="preserve">Předmět koupě je tvořen těmito </w:t>
      </w:r>
      <w:r w:rsidR="0084327C">
        <w:rPr>
          <w:szCs w:val="20"/>
        </w:rPr>
        <w:t>softwarovými produkty a licencemi</w:t>
      </w:r>
      <w:r>
        <w:rPr>
          <w:szCs w:val="20"/>
        </w:rPr>
        <w:t>:</w:t>
      </w:r>
    </w:p>
    <w:p w14:paraId="76DB6431" w14:textId="77777777" w:rsidR="0084327C" w:rsidRPr="00277202" w:rsidRDefault="0084327C" w:rsidP="0084327C">
      <w:pPr>
        <w:spacing w:after="120"/>
        <w:rPr>
          <w:rFonts w:cs="Calibri"/>
          <w:b/>
          <w:sz w:val="28"/>
          <w:szCs w:val="28"/>
        </w:rPr>
      </w:pPr>
      <w:bookmarkStart w:id="37" w:name="_Toc472491069"/>
      <w:bookmarkEnd w:id="36"/>
    </w:p>
    <w:tbl>
      <w:tblPr>
        <w:tblStyle w:val="Mkatabulky"/>
        <w:tblW w:w="9514" w:type="dxa"/>
        <w:tblLook w:val="04A0" w:firstRow="1" w:lastRow="0" w:firstColumn="1" w:lastColumn="0" w:noHBand="0" w:noVBand="1"/>
      </w:tblPr>
      <w:tblGrid>
        <w:gridCol w:w="1838"/>
        <w:gridCol w:w="6379"/>
        <w:gridCol w:w="1297"/>
      </w:tblGrid>
      <w:tr w:rsidR="006B7C9D" w14:paraId="1535DCB6" w14:textId="77777777" w:rsidTr="006B7C9D">
        <w:trPr>
          <w:trHeight w:val="567"/>
        </w:trPr>
        <w:tc>
          <w:tcPr>
            <w:tcW w:w="1838" w:type="dxa"/>
            <w:shd w:val="clear" w:color="auto" w:fill="D0CECE" w:themeFill="background2" w:themeFillShade="E6"/>
            <w:vAlign w:val="center"/>
          </w:tcPr>
          <w:p w14:paraId="599FA987" w14:textId="77777777" w:rsidR="006B7C9D" w:rsidRPr="00DB49F6" w:rsidRDefault="006B7C9D" w:rsidP="00DA013B">
            <w:pPr>
              <w:jc w:val="center"/>
              <w:rPr>
                <w:rFonts w:cs="Calibri"/>
                <w:b/>
                <w:bCs/>
                <w:sz w:val="24"/>
              </w:rPr>
            </w:pPr>
            <w:r w:rsidRPr="00DB49F6">
              <w:rPr>
                <w:rFonts w:cs="Calibri"/>
                <w:b/>
                <w:bCs/>
                <w:sz w:val="24"/>
              </w:rPr>
              <w:t>Number (SKU)</w:t>
            </w:r>
          </w:p>
        </w:tc>
        <w:tc>
          <w:tcPr>
            <w:tcW w:w="6379" w:type="dxa"/>
            <w:shd w:val="clear" w:color="auto" w:fill="D0CECE" w:themeFill="background2" w:themeFillShade="E6"/>
            <w:vAlign w:val="center"/>
          </w:tcPr>
          <w:p w14:paraId="5D379874" w14:textId="77777777" w:rsidR="006B7C9D" w:rsidRPr="00DB49F6" w:rsidRDefault="006B7C9D" w:rsidP="00DA013B">
            <w:pPr>
              <w:jc w:val="center"/>
              <w:rPr>
                <w:rFonts w:cs="Calibri"/>
                <w:b/>
                <w:bCs/>
                <w:sz w:val="24"/>
              </w:rPr>
            </w:pPr>
            <w:r w:rsidRPr="00DB49F6">
              <w:rPr>
                <w:rFonts w:cs="Calibri"/>
                <w:b/>
                <w:bCs/>
                <w:sz w:val="24"/>
              </w:rPr>
              <w:t>Produkt</w:t>
            </w:r>
          </w:p>
        </w:tc>
        <w:tc>
          <w:tcPr>
            <w:tcW w:w="1297" w:type="dxa"/>
            <w:shd w:val="clear" w:color="auto" w:fill="D0CECE" w:themeFill="background2" w:themeFillShade="E6"/>
            <w:vAlign w:val="center"/>
          </w:tcPr>
          <w:p w14:paraId="38E07002" w14:textId="77777777" w:rsidR="006B7C9D" w:rsidRPr="00DB49F6" w:rsidRDefault="006B7C9D" w:rsidP="00DA013B">
            <w:pPr>
              <w:jc w:val="center"/>
              <w:rPr>
                <w:rFonts w:cs="Calibri"/>
                <w:b/>
                <w:bCs/>
                <w:sz w:val="24"/>
              </w:rPr>
            </w:pPr>
            <w:r w:rsidRPr="00DB49F6">
              <w:rPr>
                <w:rFonts w:cs="Calibri"/>
                <w:b/>
                <w:bCs/>
                <w:sz w:val="24"/>
              </w:rPr>
              <w:t>Počet</w:t>
            </w:r>
          </w:p>
        </w:tc>
      </w:tr>
      <w:tr w:rsidR="006B7C9D" w14:paraId="6CC1CE7B" w14:textId="77777777" w:rsidTr="006B7C9D">
        <w:trPr>
          <w:trHeight w:val="567"/>
        </w:trPr>
        <w:tc>
          <w:tcPr>
            <w:tcW w:w="1838" w:type="dxa"/>
            <w:vAlign w:val="center"/>
          </w:tcPr>
          <w:p w14:paraId="4E60FFBE" w14:textId="77777777" w:rsidR="006B7C9D" w:rsidRPr="00DB49F6" w:rsidRDefault="006B7C9D" w:rsidP="00DA013B">
            <w:pPr>
              <w:rPr>
                <w:rFonts w:cs="Calibri"/>
                <w:sz w:val="24"/>
              </w:rPr>
            </w:pPr>
            <w:r w:rsidRPr="00A44B71">
              <w:rPr>
                <w:rFonts w:cs="Calibri"/>
                <w:color w:val="000000"/>
                <w:sz w:val="24"/>
              </w:rPr>
              <w:t>AAA-03786</w:t>
            </w:r>
          </w:p>
        </w:tc>
        <w:tc>
          <w:tcPr>
            <w:tcW w:w="6379" w:type="dxa"/>
            <w:vAlign w:val="center"/>
          </w:tcPr>
          <w:p w14:paraId="7A3FFCC1" w14:textId="77777777" w:rsidR="006B7C9D" w:rsidRPr="00DB49F6" w:rsidRDefault="006B7C9D" w:rsidP="00DA013B">
            <w:pPr>
              <w:rPr>
                <w:rFonts w:cs="Calibri"/>
                <w:sz w:val="24"/>
              </w:rPr>
            </w:pPr>
            <w:r w:rsidRPr="00A05556">
              <w:rPr>
                <w:rFonts w:cs="Calibri"/>
                <w:color w:val="000000"/>
                <w:sz w:val="24"/>
              </w:rPr>
              <w:t>Microsoft Windows Server 2025 Standard pro 1 uživatelskou CAL</w:t>
            </w:r>
          </w:p>
        </w:tc>
        <w:tc>
          <w:tcPr>
            <w:tcW w:w="1297" w:type="dxa"/>
            <w:vAlign w:val="center"/>
          </w:tcPr>
          <w:p w14:paraId="03D06510" w14:textId="77777777" w:rsidR="006B7C9D" w:rsidRPr="00DB49F6" w:rsidRDefault="006B7C9D" w:rsidP="00DA013B">
            <w:pPr>
              <w:jc w:val="center"/>
              <w:rPr>
                <w:rFonts w:cs="Calibri"/>
                <w:sz w:val="24"/>
              </w:rPr>
            </w:pPr>
            <w:r w:rsidRPr="00DB49F6">
              <w:rPr>
                <w:rFonts w:cs="Calibri"/>
                <w:color w:val="000000"/>
                <w:sz w:val="24"/>
              </w:rPr>
              <w:t>7000</w:t>
            </w:r>
          </w:p>
        </w:tc>
      </w:tr>
      <w:tr w:rsidR="006B7C9D" w14:paraId="10EA2B8F" w14:textId="77777777" w:rsidTr="006B7C9D">
        <w:trPr>
          <w:trHeight w:val="567"/>
        </w:trPr>
        <w:tc>
          <w:tcPr>
            <w:tcW w:w="1838" w:type="dxa"/>
            <w:vAlign w:val="center"/>
          </w:tcPr>
          <w:p w14:paraId="621B4350" w14:textId="77777777" w:rsidR="006B7C9D" w:rsidRPr="00DB49F6" w:rsidRDefault="006B7C9D" w:rsidP="00DA013B">
            <w:pPr>
              <w:rPr>
                <w:rFonts w:cs="Calibri"/>
                <w:sz w:val="24"/>
              </w:rPr>
            </w:pPr>
            <w:r w:rsidRPr="00A05556">
              <w:rPr>
                <w:rFonts w:cs="Calibri"/>
                <w:color w:val="000000"/>
                <w:sz w:val="24"/>
              </w:rPr>
              <w:t>AAA-04000</w:t>
            </w:r>
          </w:p>
        </w:tc>
        <w:tc>
          <w:tcPr>
            <w:tcW w:w="6379" w:type="dxa"/>
            <w:vAlign w:val="center"/>
          </w:tcPr>
          <w:p w14:paraId="4AF22D01" w14:textId="77777777" w:rsidR="006B7C9D" w:rsidRPr="00DB49F6" w:rsidRDefault="006B7C9D" w:rsidP="00DA013B">
            <w:pPr>
              <w:rPr>
                <w:rFonts w:cs="Calibri"/>
                <w:sz w:val="24"/>
              </w:rPr>
            </w:pPr>
            <w:r w:rsidRPr="00A66BA6">
              <w:rPr>
                <w:rFonts w:cs="Calibri"/>
                <w:color w:val="000000"/>
                <w:sz w:val="24"/>
              </w:rPr>
              <w:t>Microsoft Windows Server 2025 External Connector</w:t>
            </w:r>
          </w:p>
        </w:tc>
        <w:tc>
          <w:tcPr>
            <w:tcW w:w="1297" w:type="dxa"/>
            <w:vAlign w:val="center"/>
          </w:tcPr>
          <w:p w14:paraId="47B54A24" w14:textId="77777777" w:rsidR="006B7C9D" w:rsidRPr="00DB49F6" w:rsidRDefault="006B7C9D" w:rsidP="00DA013B">
            <w:pPr>
              <w:jc w:val="center"/>
              <w:rPr>
                <w:rFonts w:cs="Calibri"/>
                <w:sz w:val="24"/>
              </w:rPr>
            </w:pPr>
            <w:r w:rsidRPr="00DB49F6">
              <w:rPr>
                <w:rFonts w:cs="Calibri"/>
                <w:color w:val="000000"/>
                <w:sz w:val="24"/>
              </w:rPr>
              <w:t>1</w:t>
            </w:r>
          </w:p>
        </w:tc>
      </w:tr>
      <w:tr w:rsidR="006B7C9D" w14:paraId="6ACF48F4" w14:textId="77777777" w:rsidTr="006B7C9D">
        <w:trPr>
          <w:trHeight w:val="567"/>
        </w:trPr>
        <w:tc>
          <w:tcPr>
            <w:tcW w:w="1838" w:type="dxa"/>
            <w:vAlign w:val="center"/>
          </w:tcPr>
          <w:p w14:paraId="0295D6AF" w14:textId="77777777" w:rsidR="006B7C9D" w:rsidRPr="00DB49F6" w:rsidRDefault="006B7C9D" w:rsidP="00DA013B">
            <w:pPr>
              <w:rPr>
                <w:rFonts w:cs="Calibri"/>
                <w:sz w:val="24"/>
              </w:rPr>
            </w:pPr>
            <w:r w:rsidRPr="00394C65">
              <w:rPr>
                <w:rFonts w:cs="Calibri"/>
                <w:color w:val="000000"/>
                <w:sz w:val="24"/>
              </w:rPr>
              <w:t>AAA-03751</w:t>
            </w:r>
          </w:p>
        </w:tc>
        <w:tc>
          <w:tcPr>
            <w:tcW w:w="6379" w:type="dxa"/>
            <w:vAlign w:val="center"/>
          </w:tcPr>
          <w:p w14:paraId="4959A0DC" w14:textId="77777777" w:rsidR="006B7C9D" w:rsidRPr="00DB49F6" w:rsidRDefault="006B7C9D" w:rsidP="00DA013B">
            <w:pPr>
              <w:rPr>
                <w:rFonts w:cs="Calibri"/>
                <w:sz w:val="24"/>
              </w:rPr>
            </w:pPr>
            <w:r w:rsidRPr="00A66BA6">
              <w:rPr>
                <w:rFonts w:cs="Calibri"/>
                <w:color w:val="000000"/>
                <w:sz w:val="24"/>
              </w:rPr>
              <w:t>Microsoft SQL Server 2022 Standard pro 2 jádra</w:t>
            </w:r>
          </w:p>
        </w:tc>
        <w:tc>
          <w:tcPr>
            <w:tcW w:w="1297" w:type="dxa"/>
            <w:vAlign w:val="center"/>
          </w:tcPr>
          <w:p w14:paraId="0E7CF4FD" w14:textId="77777777" w:rsidR="006B7C9D" w:rsidRPr="00DB49F6" w:rsidRDefault="006B7C9D" w:rsidP="00DA013B">
            <w:pPr>
              <w:jc w:val="center"/>
              <w:rPr>
                <w:rFonts w:cs="Calibri"/>
                <w:sz w:val="24"/>
              </w:rPr>
            </w:pPr>
            <w:r w:rsidRPr="00DB49F6">
              <w:rPr>
                <w:rFonts w:cs="Calibri"/>
                <w:color w:val="000000"/>
                <w:sz w:val="24"/>
              </w:rPr>
              <w:t>30</w:t>
            </w:r>
          </w:p>
        </w:tc>
      </w:tr>
      <w:tr w:rsidR="006B7C9D" w14:paraId="6872E7D4" w14:textId="77777777" w:rsidTr="006B7C9D">
        <w:trPr>
          <w:trHeight w:val="567"/>
        </w:trPr>
        <w:tc>
          <w:tcPr>
            <w:tcW w:w="1838" w:type="dxa"/>
            <w:vAlign w:val="center"/>
          </w:tcPr>
          <w:p w14:paraId="2D2E9794" w14:textId="77777777" w:rsidR="006B7C9D" w:rsidRPr="00DB49F6" w:rsidRDefault="006B7C9D" w:rsidP="00DA013B">
            <w:pPr>
              <w:rPr>
                <w:rFonts w:cs="Calibri"/>
                <w:color w:val="000000"/>
                <w:sz w:val="24"/>
              </w:rPr>
            </w:pPr>
            <w:r>
              <w:rPr>
                <w:rFonts w:cs="Calibri"/>
                <w:color w:val="000000"/>
                <w:sz w:val="24"/>
              </w:rPr>
              <w:t>AAA-03871</w:t>
            </w:r>
          </w:p>
        </w:tc>
        <w:tc>
          <w:tcPr>
            <w:tcW w:w="6379" w:type="dxa"/>
            <w:vAlign w:val="center"/>
          </w:tcPr>
          <w:p w14:paraId="6F79C1A2" w14:textId="77777777" w:rsidR="006B7C9D" w:rsidRPr="00DB49F6" w:rsidRDefault="006B7C9D" w:rsidP="00DA013B">
            <w:pPr>
              <w:rPr>
                <w:rFonts w:cs="Calibri"/>
                <w:color w:val="000000"/>
                <w:sz w:val="24"/>
              </w:rPr>
            </w:pPr>
            <w:r w:rsidRPr="00A66BA6">
              <w:rPr>
                <w:rFonts w:cs="Calibri"/>
                <w:color w:val="000000"/>
                <w:sz w:val="24"/>
              </w:rPr>
              <w:t>Microsoft Windows Remote Desktop Services</w:t>
            </w:r>
            <w:r>
              <w:rPr>
                <w:rFonts w:cs="Calibri"/>
                <w:color w:val="000000"/>
                <w:sz w:val="24"/>
              </w:rPr>
              <w:t xml:space="preserve"> 2025</w:t>
            </w:r>
            <w:r w:rsidRPr="00A66BA6">
              <w:rPr>
                <w:rFonts w:cs="Calibri"/>
                <w:color w:val="000000"/>
                <w:sz w:val="24"/>
              </w:rPr>
              <w:t xml:space="preserve"> (RDS) pro jednoho uživatele</w:t>
            </w:r>
          </w:p>
        </w:tc>
        <w:tc>
          <w:tcPr>
            <w:tcW w:w="1297" w:type="dxa"/>
            <w:vAlign w:val="center"/>
          </w:tcPr>
          <w:p w14:paraId="2D065EE3" w14:textId="77777777" w:rsidR="006B7C9D" w:rsidRPr="00DB49F6" w:rsidRDefault="006B7C9D" w:rsidP="00DA013B">
            <w:pPr>
              <w:jc w:val="center"/>
              <w:rPr>
                <w:rFonts w:cs="Calibri"/>
                <w:color w:val="000000"/>
                <w:sz w:val="24"/>
              </w:rPr>
            </w:pPr>
            <w:r>
              <w:rPr>
                <w:rFonts w:cs="Calibri"/>
                <w:color w:val="000000"/>
                <w:sz w:val="24"/>
              </w:rPr>
              <w:t>200</w:t>
            </w:r>
          </w:p>
        </w:tc>
      </w:tr>
    </w:tbl>
    <w:p w14:paraId="1B34A727" w14:textId="77777777" w:rsidR="0084327C" w:rsidRDefault="0084327C" w:rsidP="0084327C"/>
    <w:p w14:paraId="4DFD55AA" w14:textId="779097C5" w:rsidR="0084327C" w:rsidRPr="006748F6" w:rsidRDefault="006748F6" w:rsidP="006748F6">
      <w:pPr>
        <w:jc w:val="both"/>
        <w:rPr>
          <w:b/>
          <w:bCs/>
        </w:rPr>
      </w:pPr>
      <w:r w:rsidRPr="006748F6">
        <w:rPr>
          <w:rFonts w:ascii="Calibri" w:hAnsi="Calibri" w:cs="Calibri"/>
          <w:b/>
          <w:bCs/>
        </w:rPr>
        <w:t>Softwarové licence pro produkt Microsoft SQL Server 2022 Standard pro 2 jádra budou rozděleny na určený počet serverů v počtu licencí na jádro pro daný server dle určení Kupujícího.</w:t>
      </w:r>
    </w:p>
    <w:p w14:paraId="0ACC3413" w14:textId="77777777" w:rsidR="0084327C" w:rsidRDefault="0084327C">
      <w:pPr>
        <w:rPr>
          <w:rFonts w:eastAsiaTheme="majorEastAsia" w:cstheme="majorBidi"/>
          <w:b/>
          <w:bCs/>
          <w:sz w:val="28"/>
          <w:lang w:eastAsia="en-US"/>
        </w:rPr>
      </w:pPr>
      <w:r>
        <w:br w:type="page"/>
      </w:r>
    </w:p>
    <w:p w14:paraId="1F7C59CD" w14:textId="77777777" w:rsidR="0025358A" w:rsidRDefault="0025358A" w:rsidP="0025358A">
      <w:pPr>
        <w:pStyle w:val="Nadpis1"/>
        <w:keepNext w:val="0"/>
        <w:tabs>
          <w:tab w:val="left" w:pos="0"/>
        </w:tabs>
        <w:spacing w:before="240" w:line="240" w:lineRule="auto"/>
        <w:jc w:val="both"/>
        <w:rPr>
          <w:rFonts w:asciiTheme="minorHAnsi" w:hAnsiTheme="minorHAnsi"/>
          <w:color w:val="auto"/>
          <w:szCs w:val="22"/>
        </w:rPr>
      </w:pPr>
    </w:p>
    <w:p w14:paraId="56F68428" w14:textId="22E0A73B" w:rsidR="00325829" w:rsidRPr="0025358A" w:rsidRDefault="00186E5E" w:rsidP="0025358A">
      <w:pPr>
        <w:pStyle w:val="Nadpis1"/>
        <w:keepNext w:val="0"/>
        <w:tabs>
          <w:tab w:val="left" w:pos="0"/>
        </w:tabs>
        <w:spacing w:before="120" w:after="240" w:line="240" w:lineRule="auto"/>
        <w:jc w:val="both"/>
        <w:rPr>
          <w:rFonts w:asciiTheme="minorHAnsi" w:hAnsiTheme="minorHAnsi"/>
          <w:color w:val="auto"/>
          <w:szCs w:val="22"/>
        </w:rPr>
      </w:pPr>
      <w:r w:rsidRPr="0025358A">
        <w:rPr>
          <w:rFonts w:asciiTheme="minorHAnsi" w:hAnsiTheme="minorHAnsi"/>
          <w:color w:val="auto"/>
          <w:szCs w:val="22"/>
        </w:rPr>
        <w:t xml:space="preserve">Příloha č. </w:t>
      </w:r>
      <w:r w:rsidR="001B69C6" w:rsidRPr="0025358A">
        <w:rPr>
          <w:rFonts w:asciiTheme="minorHAnsi" w:hAnsiTheme="minorHAnsi"/>
          <w:color w:val="auto"/>
          <w:szCs w:val="22"/>
        </w:rPr>
        <w:t>2</w:t>
      </w:r>
    </w:p>
    <w:p w14:paraId="4A38E8C5" w14:textId="77777777" w:rsidR="00186E5E" w:rsidRPr="008071A0" w:rsidRDefault="00186E5E" w:rsidP="008D69B5">
      <w:pPr>
        <w:pStyle w:val="Nadpis1"/>
        <w:keepNext w:val="0"/>
        <w:tabs>
          <w:tab w:val="left" w:pos="0"/>
        </w:tabs>
        <w:spacing w:before="240" w:after="240" w:line="240" w:lineRule="auto"/>
        <w:rPr>
          <w:rFonts w:asciiTheme="minorHAnsi" w:hAnsiTheme="minorHAnsi"/>
          <w:color w:val="auto"/>
          <w:szCs w:val="22"/>
        </w:rPr>
      </w:pPr>
      <w:bookmarkStart w:id="38" w:name="_Hlk191466905"/>
      <w:r>
        <w:rPr>
          <w:rFonts w:asciiTheme="minorHAnsi" w:hAnsiTheme="minorHAnsi"/>
          <w:color w:val="auto"/>
          <w:szCs w:val="22"/>
        </w:rPr>
        <w:t>Licenční ujednání upravující právo k užívání poskytnutého softwarového vybavení</w:t>
      </w:r>
      <w:bookmarkEnd w:id="38"/>
    </w:p>
    <w:p w14:paraId="0446992C" w14:textId="77777777" w:rsidR="00186E5E" w:rsidRDefault="00186E5E" w:rsidP="00186E5E">
      <w:pPr>
        <w:rPr>
          <w:b/>
          <w:color w:val="767171" w:themeColor="background2" w:themeShade="80"/>
          <w:highlight w:val="yellow"/>
        </w:rPr>
      </w:pPr>
    </w:p>
    <w:p w14:paraId="236EEB07" w14:textId="699323C2" w:rsidR="00186E5E" w:rsidRPr="00E57599" w:rsidRDefault="00FB5ABA" w:rsidP="00E57599">
      <w:pPr>
        <w:jc w:val="both"/>
        <w:rPr>
          <w:bCs/>
          <w:highlight w:val="yellow"/>
        </w:rPr>
      </w:pPr>
      <w:r w:rsidRPr="00E57599">
        <w:rPr>
          <w:bCs/>
          <w:highlight w:val="yellow"/>
        </w:rPr>
        <w:t xml:space="preserve">Jsou-li </w:t>
      </w:r>
      <w:r w:rsidR="0068487D" w:rsidRPr="00E57599">
        <w:rPr>
          <w:bCs/>
          <w:highlight w:val="yellow"/>
        </w:rPr>
        <w:t>předmět</w:t>
      </w:r>
      <w:r w:rsidRPr="00E57599">
        <w:rPr>
          <w:bCs/>
          <w:highlight w:val="yellow"/>
        </w:rPr>
        <w:t>em</w:t>
      </w:r>
      <w:r w:rsidR="0068487D" w:rsidRPr="00E57599">
        <w:rPr>
          <w:bCs/>
          <w:highlight w:val="yellow"/>
        </w:rPr>
        <w:t xml:space="preserve"> koupě s</w:t>
      </w:r>
      <w:r w:rsidRPr="00E57599">
        <w:rPr>
          <w:bCs/>
          <w:highlight w:val="yellow"/>
        </w:rPr>
        <w:t xml:space="preserve">oftwarové produkty a licence uvede </w:t>
      </w:r>
      <w:r w:rsidR="0068487D" w:rsidRPr="00E57599">
        <w:rPr>
          <w:bCs/>
          <w:highlight w:val="yellow"/>
        </w:rPr>
        <w:t xml:space="preserve">zde </w:t>
      </w:r>
      <w:r w:rsidR="00923C21" w:rsidRPr="00E57599">
        <w:rPr>
          <w:bCs/>
          <w:highlight w:val="yellow"/>
        </w:rPr>
        <w:t>Prodávající</w:t>
      </w:r>
      <w:r w:rsidR="00186E5E" w:rsidRPr="00E57599">
        <w:rPr>
          <w:bCs/>
          <w:highlight w:val="yellow"/>
        </w:rPr>
        <w:t xml:space="preserve"> licenční podmínky </w:t>
      </w:r>
      <w:r w:rsidR="0068487D" w:rsidRPr="00E57599">
        <w:rPr>
          <w:bCs/>
          <w:highlight w:val="yellow"/>
        </w:rPr>
        <w:t xml:space="preserve">nebo odkaz na licenční podmínky </w:t>
      </w:r>
      <w:r w:rsidR="00186E5E" w:rsidRPr="00E57599">
        <w:rPr>
          <w:bCs/>
          <w:highlight w:val="yellow"/>
        </w:rPr>
        <w:t>upravující právo k užívání poskytnutého softwarového vybavení uvedeného v Příloze č. 1.</w:t>
      </w:r>
      <w:r w:rsidRPr="00E57599">
        <w:rPr>
          <w:bCs/>
          <w:highlight w:val="yellow"/>
        </w:rPr>
        <w:t xml:space="preserve"> např. formou:</w:t>
      </w:r>
    </w:p>
    <w:p w14:paraId="713B2E4D" w14:textId="77777777" w:rsidR="00136DB7" w:rsidRPr="00E57599" w:rsidRDefault="00FB5ABA" w:rsidP="00FB5ABA">
      <w:r w:rsidRPr="00E57599">
        <w:t xml:space="preserve">Aktuální znění licenčního ujednání je uvedeno na webových stránkách výrobce: </w:t>
      </w:r>
    </w:p>
    <w:p w14:paraId="066C3A1C" w14:textId="77777777" w:rsidR="00136DB7" w:rsidRDefault="00136DB7" w:rsidP="00FB5ABA"/>
    <w:p w14:paraId="00FDFAA6" w14:textId="77777777" w:rsidR="00136DB7" w:rsidRDefault="00136DB7" w:rsidP="00FB5ABA"/>
    <w:p w14:paraId="2A8567CE" w14:textId="77777777" w:rsidR="00136DB7" w:rsidRDefault="00136DB7" w:rsidP="00FB5ABA"/>
    <w:p w14:paraId="5AEC17D6" w14:textId="77777777" w:rsidR="00136DB7" w:rsidRDefault="00136DB7" w:rsidP="00FB5ABA"/>
    <w:p w14:paraId="2E5B5575" w14:textId="77777777" w:rsidR="00136DB7" w:rsidRDefault="00136DB7" w:rsidP="00FB5ABA"/>
    <w:p w14:paraId="00EA2A19" w14:textId="77777777" w:rsidR="00136DB7" w:rsidRDefault="00136DB7" w:rsidP="00FB5ABA"/>
    <w:p w14:paraId="325DA439" w14:textId="77777777" w:rsidR="00136DB7" w:rsidRDefault="00136DB7" w:rsidP="00FB5ABA"/>
    <w:p w14:paraId="4D71FFD1" w14:textId="77777777" w:rsidR="00136DB7" w:rsidRDefault="00136DB7" w:rsidP="00FB5ABA"/>
    <w:p w14:paraId="7DD8FC1E" w14:textId="77777777" w:rsidR="00136DB7" w:rsidRDefault="00136DB7" w:rsidP="00FB5ABA"/>
    <w:p w14:paraId="0C70D010" w14:textId="77777777" w:rsidR="00834BC5" w:rsidRDefault="00834BC5" w:rsidP="00FB5ABA"/>
    <w:p w14:paraId="69708471" w14:textId="77777777" w:rsidR="00834BC5" w:rsidRDefault="00834BC5" w:rsidP="00FB5ABA"/>
    <w:p w14:paraId="3D3EE628" w14:textId="77777777" w:rsidR="00834BC5" w:rsidRDefault="00834BC5" w:rsidP="00FB5ABA"/>
    <w:p w14:paraId="5C84C412" w14:textId="77777777" w:rsidR="00834BC5" w:rsidRDefault="00834BC5" w:rsidP="00FB5ABA"/>
    <w:p w14:paraId="26975717" w14:textId="77777777" w:rsidR="00834BC5" w:rsidRDefault="00834BC5" w:rsidP="00FB5ABA"/>
    <w:p w14:paraId="47EF6D88" w14:textId="77777777" w:rsidR="00834BC5" w:rsidRDefault="00834BC5" w:rsidP="00FB5ABA"/>
    <w:p w14:paraId="76F00017" w14:textId="77777777" w:rsidR="00834BC5" w:rsidRDefault="00834BC5" w:rsidP="00FB5ABA"/>
    <w:p w14:paraId="7144430B" w14:textId="77777777" w:rsidR="00834BC5" w:rsidRDefault="00834BC5" w:rsidP="00FB5ABA"/>
    <w:p w14:paraId="68A8127C" w14:textId="77777777" w:rsidR="00834BC5" w:rsidRDefault="00834BC5" w:rsidP="00FB5ABA"/>
    <w:p w14:paraId="53415F31" w14:textId="77777777" w:rsidR="00834BC5" w:rsidRDefault="00834BC5" w:rsidP="00FB5ABA"/>
    <w:p w14:paraId="732F29A3" w14:textId="77777777" w:rsidR="00834BC5" w:rsidRDefault="00834BC5" w:rsidP="00FB5ABA"/>
    <w:p w14:paraId="579E3D70" w14:textId="77777777" w:rsidR="00F96FC9" w:rsidRPr="0025358A" w:rsidRDefault="00F96FC9" w:rsidP="00F96FC9">
      <w:pPr>
        <w:pStyle w:val="Nadpis1"/>
        <w:keepNext w:val="0"/>
        <w:tabs>
          <w:tab w:val="left" w:pos="0"/>
        </w:tabs>
        <w:spacing w:before="120" w:after="240" w:line="240" w:lineRule="auto"/>
        <w:jc w:val="both"/>
        <w:rPr>
          <w:rFonts w:asciiTheme="minorHAnsi" w:hAnsiTheme="minorHAnsi"/>
          <w:color w:val="auto"/>
          <w:szCs w:val="22"/>
        </w:rPr>
      </w:pPr>
      <w:r w:rsidRPr="0025358A">
        <w:rPr>
          <w:rFonts w:asciiTheme="minorHAnsi" w:hAnsiTheme="minorHAnsi"/>
          <w:color w:val="auto"/>
          <w:szCs w:val="22"/>
        </w:rPr>
        <w:t xml:space="preserve">Příloha č. 3 </w:t>
      </w:r>
    </w:p>
    <w:p w14:paraId="6CA7E633" w14:textId="77777777" w:rsidR="00F96FC9" w:rsidRPr="00E53A96" w:rsidRDefault="00F96FC9" w:rsidP="00F96FC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00371DAE" w14:textId="77777777" w:rsidR="00F96FC9" w:rsidRDefault="00F96FC9" w:rsidP="00F96FC9">
      <w:pPr>
        <w:rPr>
          <w:b/>
          <w:color w:val="767171" w:themeColor="background2" w:themeShade="80"/>
          <w:highlight w:val="yellow"/>
        </w:rPr>
      </w:pPr>
      <w:r>
        <w:rPr>
          <w:b/>
          <w:color w:val="767171" w:themeColor="background2" w:themeShade="80"/>
          <w:highlight w:val="yellow"/>
        </w:rPr>
        <w:t xml:space="preserve">Prodávající </w:t>
      </w:r>
      <w:r w:rsidRPr="00143FF4">
        <w:rPr>
          <w:b/>
          <w:color w:val="767171" w:themeColor="background2" w:themeShade="80"/>
          <w:highlight w:val="yellow"/>
        </w:rPr>
        <w:t xml:space="preserve">zde uvede </w:t>
      </w:r>
      <w:r>
        <w:rPr>
          <w:b/>
          <w:color w:val="767171" w:themeColor="background2" w:themeShade="80"/>
          <w:highlight w:val="yellow"/>
        </w:rPr>
        <w:t xml:space="preserve">podrobnou </w:t>
      </w:r>
      <w:r w:rsidRPr="00143FF4">
        <w:rPr>
          <w:b/>
          <w:color w:val="767171" w:themeColor="background2" w:themeShade="80"/>
          <w:highlight w:val="yellow"/>
        </w:rPr>
        <w:t xml:space="preserve">cenovou kalkulaci </w:t>
      </w:r>
      <w:r>
        <w:rPr>
          <w:b/>
          <w:color w:val="767171" w:themeColor="background2" w:themeShade="80"/>
          <w:highlight w:val="yellow"/>
        </w:rPr>
        <w:t xml:space="preserve">na dodávku předmětu koupě </w:t>
      </w:r>
      <w:r w:rsidRPr="00143FF4">
        <w:rPr>
          <w:b/>
          <w:color w:val="767171" w:themeColor="background2" w:themeShade="80"/>
          <w:highlight w:val="yellow"/>
        </w:rPr>
        <w:t xml:space="preserve">v rozložení </w:t>
      </w:r>
      <w:r>
        <w:rPr>
          <w:b/>
          <w:color w:val="767171" w:themeColor="background2" w:themeShade="80"/>
          <w:highlight w:val="yellow"/>
        </w:rPr>
        <w:t>dle jednotlivých technických zařízení a jejich komponent.</w:t>
      </w:r>
    </w:p>
    <w:p w14:paraId="5A38F258" w14:textId="5D7A4618" w:rsidR="00834BC5" w:rsidRDefault="00F96FC9" w:rsidP="00F96FC9">
      <w:r>
        <w:rPr>
          <w:b/>
          <w:color w:val="767171" w:themeColor="background2" w:themeShade="80"/>
          <w:highlight w:val="yellow"/>
        </w:rPr>
        <w:t>C</w:t>
      </w:r>
      <w:r w:rsidRPr="00143FF4">
        <w:rPr>
          <w:b/>
          <w:color w:val="767171" w:themeColor="background2" w:themeShade="80"/>
          <w:highlight w:val="yellow"/>
        </w:rPr>
        <w:t>ena v korunách českých bude členěna na cenu bez DPH, sazbu a výši DPH a cenu s DPH.</w:t>
      </w:r>
    </w:p>
    <w:tbl>
      <w:tblPr>
        <w:tblStyle w:val="Mkatabulky"/>
        <w:tblW w:w="10491" w:type="dxa"/>
        <w:tblInd w:w="-431" w:type="dxa"/>
        <w:tblLook w:val="04A0" w:firstRow="1" w:lastRow="0" w:firstColumn="1" w:lastColumn="0" w:noHBand="0" w:noVBand="1"/>
      </w:tblPr>
      <w:tblGrid>
        <w:gridCol w:w="1277"/>
        <w:gridCol w:w="4252"/>
        <w:gridCol w:w="993"/>
        <w:gridCol w:w="1559"/>
        <w:gridCol w:w="1559"/>
        <w:gridCol w:w="851"/>
      </w:tblGrid>
      <w:tr w:rsidR="00F96FC9" w14:paraId="1A28B385" w14:textId="77777777" w:rsidTr="00E57599">
        <w:trPr>
          <w:trHeight w:val="567"/>
        </w:trPr>
        <w:tc>
          <w:tcPr>
            <w:tcW w:w="1277" w:type="dxa"/>
            <w:shd w:val="clear" w:color="auto" w:fill="D0CECE" w:themeFill="background2" w:themeFillShade="E6"/>
            <w:vAlign w:val="center"/>
          </w:tcPr>
          <w:p w14:paraId="280C7ECB" w14:textId="77777777" w:rsidR="00F96FC9" w:rsidRPr="00CB4AEB" w:rsidRDefault="00F96FC9" w:rsidP="00A91D5F">
            <w:pPr>
              <w:jc w:val="center"/>
              <w:rPr>
                <w:rFonts w:cs="Calibri"/>
                <w:b/>
                <w:bCs/>
                <w:sz w:val="20"/>
                <w:szCs w:val="20"/>
              </w:rPr>
            </w:pPr>
            <w:r w:rsidRPr="00CB4AEB">
              <w:rPr>
                <w:rFonts w:cs="Calibri"/>
                <w:b/>
                <w:bCs/>
                <w:sz w:val="20"/>
                <w:szCs w:val="20"/>
              </w:rPr>
              <w:t xml:space="preserve">Number </w:t>
            </w:r>
          </w:p>
        </w:tc>
        <w:tc>
          <w:tcPr>
            <w:tcW w:w="4252" w:type="dxa"/>
            <w:shd w:val="clear" w:color="auto" w:fill="D0CECE" w:themeFill="background2" w:themeFillShade="E6"/>
            <w:vAlign w:val="center"/>
          </w:tcPr>
          <w:p w14:paraId="0268FEDA" w14:textId="77777777" w:rsidR="00F96FC9" w:rsidRPr="00CB4AEB" w:rsidRDefault="00F96FC9" w:rsidP="00A91D5F">
            <w:pPr>
              <w:jc w:val="center"/>
              <w:rPr>
                <w:rFonts w:cs="Calibri"/>
                <w:b/>
                <w:bCs/>
                <w:sz w:val="20"/>
                <w:szCs w:val="20"/>
              </w:rPr>
            </w:pPr>
            <w:r w:rsidRPr="00CB4AEB">
              <w:rPr>
                <w:rFonts w:cs="Calibri"/>
                <w:b/>
                <w:bCs/>
                <w:sz w:val="20"/>
                <w:szCs w:val="20"/>
              </w:rPr>
              <w:t>Produkt</w:t>
            </w:r>
          </w:p>
        </w:tc>
        <w:tc>
          <w:tcPr>
            <w:tcW w:w="993" w:type="dxa"/>
            <w:shd w:val="clear" w:color="auto" w:fill="D0CECE" w:themeFill="background2" w:themeFillShade="E6"/>
            <w:vAlign w:val="center"/>
          </w:tcPr>
          <w:p w14:paraId="1105A127" w14:textId="77777777" w:rsidR="00F96FC9" w:rsidRPr="00CB4AEB" w:rsidRDefault="00F96FC9" w:rsidP="00A91D5F">
            <w:pPr>
              <w:jc w:val="center"/>
              <w:rPr>
                <w:rFonts w:cs="Calibri"/>
                <w:b/>
                <w:bCs/>
                <w:sz w:val="20"/>
                <w:szCs w:val="20"/>
              </w:rPr>
            </w:pPr>
            <w:r w:rsidRPr="00CB4AEB">
              <w:rPr>
                <w:rFonts w:cs="Calibri"/>
                <w:b/>
                <w:bCs/>
                <w:sz w:val="20"/>
                <w:szCs w:val="20"/>
              </w:rPr>
              <w:t>Počet licencí</w:t>
            </w:r>
          </w:p>
        </w:tc>
        <w:tc>
          <w:tcPr>
            <w:tcW w:w="1559" w:type="dxa"/>
            <w:shd w:val="clear" w:color="auto" w:fill="D0CECE" w:themeFill="background2" w:themeFillShade="E6"/>
          </w:tcPr>
          <w:p w14:paraId="2004123D" w14:textId="77777777" w:rsidR="00F96FC9" w:rsidRPr="00CB4AEB" w:rsidRDefault="00F96FC9" w:rsidP="00A91D5F">
            <w:pPr>
              <w:jc w:val="center"/>
              <w:rPr>
                <w:rFonts w:cs="Calibri"/>
                <w:b/>
                <w:bCs/>
                <w:sz w:val="20"/>
                <w:szCs w:val="20"/>
              </w:rPr>
            </w:pPr>
            <w:r w:rsidRPr="00CB4AEB">
              <w:rPr>
                <w:rFonts w:cs="Calibri"/>
                <w:b/>
                <w:bCs/>
                <w:sz w:val="20"/>
                <w:szCs w:val="20"/>
              </w:rPr>
              <w:t>Cena za licenci</w:t>
            </w:r>
          </w:p>
          <w:p w14:paraId="573C7A10" w14:textId="77777777" w:rsidR="00F96FC9" w:rsidRPr="00CB4AEB" w:rsidRDefault="00F96FC9" w:rsidP="00A91D5F">
            <w:pPr>
              <w:jc w:val="center"/>
              <w:rPr>
                <w:rFonts w:cs="Calibri"/>
                <w:b/>
                <w:bCs/>
                <w:sz w:val="20"/>
                <w:szCs w:val="20"/>
              </w:rPr>
            </w:pPr>
            <w:r w:rsidRPr="00CB4AEB">
              <w:rPr>
                <w:rFonts w:cs="Calibri"/>
                <w:b/>
                <w:bCs/>
                <w:sz w:val="20"/>
                <w:szCs w:val="20"/>
              </w:rPr>
              <w:t>V Kč</w:t>
            </w:r>
          </w:p>
          <w:p w14:paraId="462391BA" w14:textId="77777777" w:rsidR="00F96FC9" w:rsidRPr="00CB4AEB" w:rsidRDefault="00F96FC9" w:rsidP="00A91D5F">
            <w:pPr>
              <w:jc w:val="center"/>
              <w:rPr>
                <w:rFonts w:cs="Calibri"/>
                <w:b/>
                <w:bCs/>
                <w:sz w:val="20"/>
                <w:szCs w:val="20"/>
              </w:rPr>
            </w:pPr>
            <w:r w:rsidRPr="00CB4AEB">
              <w:rPr>
                <w:sz w:val="20"/>
                <w:szCs w:val="20"/>
              </w:rPr>
              <w:t>(bez DPH)</w:t>
            </w:r>
          </w:p>
        </w:tc>
        <w:tc>
          <w:tcPr>
            <w:tcW w:w="1559" w:type="dxa"/>
            <w:shd w:val="clear" w:color="auto" w:fill="D0CECE" w:themeFill="background2" w:themeFillShade="E6"/>
          </w:tcPr>
          <w:p w14:paraId="5D9A6536" w14:textId="77777777" w:rsidR="00F96FC9" w:rsidRPr="00CB4AEB" w:rsidRDefault="00F96FC9" w:rsidP="00A91D5F">
            <w:pPr>
              <w:pStyle w:val="Default"/>
              <w:jc w:val="center"/>
              <w:rPr>
                <w:sz w:val="20"/>
                <w:szCs w:val="20"/>
              </w:rPr>
            </w:pPr>
            <w:r w:rsidRPr="00CB4AEB">
              <w:rPr>
                <w:b/>
                <w:bCs/>
                <w:sz w:val="20"/>
                <w:szCs w:val="20"/>
              </w:rPr>
              <w:t xml:space="preserve">Cena celkem za celkový počet </w:t>
            </w:r>
            <w:r>
              <w:rPr>
                <w:b/>
                <w:bCs/>
                <w:sz w:val="20"/>
                <w:szCs w:val="20"/>
              </w:rPr>
              <w:t xml:space="preserve">jednotlivých </w:t>
            </w:r>
            <w:r w:rsidRPr="00CB4AEB">
              <w:rPr>
                <w:b/>
                <w:bCs/>
                <w:sz w:val="20"/>
                <w:szCs w:val="20"/>
              </w:rPr>
              <w:t>licencí v Kč</w:t>
            </w:r>
          </w:p>
          <w:p w14:paraId="07299DE4" w14:textId="77777777" w:rsidR="00F96FC9" w:rsidRPr="00CB4AEB" w:rsidRDefault="00F96FC9" w:rsidP="00A91D5F">
            <w:pPr>
              <w:jc w:val="center"/>
              <w:rPr>
                <w:rFonts w:cs="Calibri"/>
                <w:b/>
                <w:bCs/>
                <w:sz w:val="20"/>
                <w:szCs w:val="20"/>
              </w:rPr>
            </w:pPr>
            <w:r w:rsidRPr="00CB4AEB">
              <w:rPr>
                <w:sz w:val="20"/>
                <w:szCs w:val="20"/>
              </w:rPr>
              <w:t>(bez DPH)</w:t>
            </w:r>
          </w:p>
        </w:tc>
        <w:tc>
          <w:tcPr>
            <w:tcW w:w="851" w:type="dxa"/>
            <w:shd w:val="clear" w:color="auto" w:fill="D0CECE" w:themeFill="background2" w:themeFillShade="E6"/>
          </w:tcPr>
          <w:p w14:paraId="629ADC10" w14:textId="77777777" w:rsidR="00F96FC9" w:rsidRPr="00CB4AEB" w:rsidRDefault="00F96FC9" w:rsidP="00A91D5F">
            <w:pPr>
              <w:jc w:val="center"/>
              <w:rPr>
                <w:b/>
                <w:bCs/>
                <w:sz w:val="20"/>
                <w:szCs w:val="20"/>
              </w:rPr>
            </w:pPr>
            <w:r w:rsidRPr="00CB4AEB">
              <w:rPr>
                <w:b/>
                <w:bCs/>
                <w:sz w:val="20"/>
                <w:szCs w:val="20"/>
              </w:rPr>
              <w:t xml:space="preserve">Sazba DPH </w:t>
            </w:r>
          </w:p>
          <w:p w14:paraId="69F94068" w14:textId="77777777" w:rsidR="00F96FC9" w:rsidRPr="00CB4AEB" w:rsidRDefault="00F96FC9" w:rsidP="00A91D5F">
            <w:pPr>
              <w:jc w:val="center"/>
              <w:rPr>
                <w:rFonts w:cs="Calibri"/>
                <w:sz w:val="20"/>
                <w:szCs w:val="20"/>
              </w:rPr>
            </w:pPr>
            <w:r w:rsidRPr="00CB4AEB">
              <w:rPr>
                <w:sz w:val="20"/>
                <w:szCs w:val="20"/>
              </w:rPr>
              <w:t>(v %)</w:t>
            </w:r>
          </w:p>
        </w:tc>
      </w:tr>
      <w:tr w:rsidR="00F96FC9" w14:paraId="169A3EC0" w14:textId="77777777" w:rsidTr="00E57599">
        <w:trPr>
          <w:trHeight w:val="567"/>
        </w:trPr>
        <w:tc>
          <w:tcPr>
            <w:tcW w:w="1277" w:type="dxa"/>
            <w:vAlign w:val="center"/>
          </w:tcPr>
          <w:p w14:paraId="267BB1B6" w14:textId="77777777" w:rsidR="00F96FC9" w:rsidRPr="00CB4AEB" w:rsidRDefault="00F96FC9" w:rsidP="00A91D5F">
            <w:pPr>
              <w:rPr>
                <w:rFonts w:cs="Calibri"/>
              </w:rPr>
            </w:pPr>
            <w:r w:rsidRPr="00CB4AEB">
              <w:rPr>
                <w:rFonts w:cs="Calibri"/>
                <w:color w:val="000000"/>
              </w:rPr>
              <w:t>AAA-03786</w:t>
            </w:r>
          </w:p>
        </w:tc>
        <w:tc>
          <w:tcPr>
            <w:tcW w:w="4252" w:type="dxa"/>
            <w:vAlign w:val="center"/>
          </w:tcPr>
          <w:p w14:paraId="725D5607" w14:textId="77777777" w:rsidR="00F96FC9" w:rsidRPr="00CB4AEB" w:rsidRDefault="00F96FC9" w:rsidP="00A91D5F">
            <w:pPr>
              <w:rPr>
                <w:rFonts w:cs="Calibri"/>
              </w:rPr>
            </w:pPr>
            <w:r w:rsidRPr="00CB4AEB">
              <w:rPr>
                <w:rFonts w:cs="Calibri"/>
                <w:color w:val="000000"/>
              </w:rPr>
              <w:t>Microsoft Windows Server 2025 Standard pro 1 uživatelskou CAL</w:t>
            </w:r>
          </w:p>
        </w:tc>
        <w:tc>
          <w:tcPr>
            <w:tcW w:w="993" w:type="dxa"/>
            <w:vAlign w:val="center"/>
          </w:tcPr>
          <w:p w14:paraId="01BA2C41" w14:textId="77777777" w:rsidR="00F96FC9" w:rsidRPr="00CB4AEB" w:rsidRDefault="00F96FC9" w:rsidP="00A91D5F">
            <w:pPr>
              <w:jc w:val="center"/>
              <w:rPr>
                <w:rFonts w:cs="Calibri"/>
              </w:rPr>
            </w:pPr>
            <w:r w:rsidRPr="00CB4AEB">
              <w:rPr>
                <w:rFonts w:cs="Calibri"/>
                <w:color w:val="000000"/>
              </w:rPr>
              <w:t>7000</w:t>
            </w:r>
          </w:p>
        </w:tc>
        <w:tc>
          <w:tcPr>
            <w:tcW w:w="1559" w:type="dxa"/>
            <w:shd w:val="clear" w:color="auto" w:fill="FFF2CC" w:themeFill="accent4" w:themeFillTint="33"/>
            <w:vAlign w:val="center"/>
          </w:tcPr>
          <w:p w14:paraId="5E4067B1" w14:textId="77777777" w:rsidR="00F96FC9" w:rsidRPr="00FB2E2F" w:rsidRDefault="00F96FC9" w:rsidP="00A91D5F">
            <w:pPr>
              <w:jc w:val="center"/>
              <w:rPr>
                <w:rFonts w:cs="Calibri"/>
                <w:szCs w:val="20"/>
              </w:rPr>
            </w:pPr>
          </w:p>
        </w:tc>
        <w:tc>
          <w:tcPr>
            <w:tcW w:w="1559" w:type="dxa"/>
            <w:shd w:val="clear" w:color="auto" w:fill="FFF2CC" w:themeFill="accent4" w:themeFillTint="33"/>
            <w:vAlign w:val="center"/>
          </w:tcPr>
          <w:p w14:paraId="67D6E657" w14:textId="77777777" w:rsidR="00F96FC9" w:rsidRPr="00FB2E2F" w:rsidRDefault="00F96FC9" w:rsidP="00A91D5F">
            <w:pPr>
              <w:jc w:val="center"/>
              <w:rPr>
                <w:rFonts w:cs="Calibri"/>
                <w:szCs w:val="20"/>
              </w:rPr>
            </w:pPr>
          </w:p>
        </w:tc>
        <w:tc>
          <w:tcPr>
            <w:tcW w:w="851" w:type="dxa"/>
            <w:shd w:val="clear" w:color="auto" w:fill="FFF2CC" w:themeFill="accent4" w:themeFillTint="33"/>
            <w:vAlign w:val="center"/>
          </w:tcPr>
          <w:p w14:paraId="3A4F7DCF" w14:textId="77777777" w:rsidR="00F96FC9" w:rsidRPr="00FB2E2F" w:rsidRDefault="00F96FC9" w:rsidP="00A91D5F">
            <w:pPr>
              <w:jc w:val="center"/>
              <w:rPr>
                <w:rFonts w:cs="Calibri"/>
                <w:szCs w:val="20"/>
              </w:rPr>
            </w:pPr>
          </w:p>
        </w:tc>
      </w:tr>
      <w:tr w:rsidR="00F96FC9" w14:paraId="143B69C4" w14:textId="77777777" w:rsidTr="00E57599">
        <w:trPr>
          <w:trHeight w:val="567"/>
        </w:trPr>
        <w:tc>
          <w:tcPr>
            <w:tcW w:w="1277" w:type="dxa"/>
            <w:vAlign w:val="center"/>
          </w:tcPr>
          <w:p w14:paraId="36660958" w14:textId="77777777" w:rsidR="00F96FC9" w:rsidRPr="00CB4AEB" w:rsidRDefault="00F96FC9" w:rsidP="00A91D5F">
            <w:pPr>
              <w:rPr>
                <w:rFonts w:cs="Calibri"/>
              </w:rPr>
            </w:pPr>
            <w:r w:rsidRPr="00CB4AEB">
              <w:rPr>
                <w:rFonts w:cs="Calibri"/>
                <w:color w:val="000000"/>
              </w:rPr>
              <w:t>AAA-04000</w:t>
            </w:r>
          </w:p>
        </w:tc>
        <w:tc>
          <w:tcPr>
            <w:tcW w:w="4252" w:type="dxa"/>
            <w:vAlign w:val="center"/>
          </w:tcPr>
          <w:p w14:paraId="0381344A" w14:textId="77777777" w:rsidR="00F96FC9" w:rsidRPr="00CB4AEB" w:rsidRDefault="00F96FC9" w:rsidP="00A91D5F">
            <w:pPr>
              <w:rPr>
                <w:rFonts w:cs="Calibri"/>
              </w:rPr>
            </w:pPr>
            <w:r w:rsidRPr="00CB4AEB">
              <w:rPr>
                <w:rFonts w:cs="Calibri"/>
                <w:color w:val="000000"/>
              </w:rPr>
              <w:t>Microsoft Windows Server 2025 External Connector</w:t>
            </w:r>
          </w:p>
        </w:tc>
        <w:tc>
          <w:tcPr>
            <w:tcW w:w="993" w:type="dxa"/>
            <w:vAlign w:val="center"/>
          </w:tcPr>
          <w:p w14:paraId="0EBF9AA8" w14:textId="77777777" w:rsidR="00F96FC9" w:rsidRPr="00CB4AEB" w:rsidRDefault="00F96FC9" w:rsidP="00A91D5F">
            <w:pPr>
              <w:jc w:val="center"/>
              <w:rPr>
                <w:rFonts w:cs="Calibri"/>
              </w:rPr>
            </w:pPr>
            <w:r w:rsidRPr="00CB4AEB">
              <w:rPr>
                <w:rFonts w:cs="Calibri"/>
                <w:color w:val="000000"/>
              </w:rPr>
              <w:t>1</w:t>
            </w:r>
          </w:p>
        </w:tc>
        <w:tc>
          <w:tcPr>
            <w:tcW w:w="1559" w:type="dxa"/>
            <w:shd w:val="clear" w:color="auto" w:fill="FFF2CC" w:themeFill="accent4" w:themeFillTint="33"/>
            <w:vAlign w:val="center"/>
          </w:tcPr>
          <w:p w14:paraId="679CD31B" w14:textId="77777777" w:rsidR="00F96FC9" w:rsidRPr="00FB2E2F" w:rsidRDefault="00F96FC9" w:rsidP="00A91D5F">
            <w:pPr>
              <w:jc w:val="center"/>
              <w:rPr>
                <w:rFonts w:cs="Calibri"/>
                <w:szCs w:val="20"/>
              </w:rPr>
            </w:pPr>
          </w:p>
        </w:tc>
        <w:tc>
          <w:tcPr>
            <w:tcW w:w="1559" w:type="dxa"/>
            <w:shd w:val="clear" w:color="auto" w:fill="FFF2CC" w:themeFill="accent4" w:themeFillTint="33"/>
            <w:vAlign w:val="center"/>
          </w:tcPr>
          <w:p w14:paraId="065B95DE" w14:textId="77777777" w:rsidR="00F96FC9" w:rsidRPr="00FB2E2F" w:rsidRDefault="00F96FC9" w:rsidP="00A91D5F">
            <w:pPr>
              <w:jc w:val="center"/>
              <w:rPr>
                <w:rFonts w:cs="Calibri"/>
                <w:szCs w:val="20"/>
              </w:rPr>
            </w:pPr>
          </w:p>
        </w:tc>
        <w:tc>
          <w:tcPr>
            <w:tcW w:w="851" w:type="dxa"/>
            <w:shd w:val="clear" w:color="auto" w:fill="FFF2CC" w:themeFill="accent4" w:themeFillTint="33"/>
            <w:vAlign w:val="center"/>
          </w:tcPr>
          <w:p w14:paraId="02911E13" w14:textId="77777777" w:rsidR="00F96FC9" w:rsidRPr="00FB2E2F" w:rsidRDefault="00F96FC9" w:rsidP="00A91D5F">
            <w:pPr>
              <w:jc w:val="center"/>
              <w:rPr>
                <w:rFonts w:cs="Calibri"/>
                <w:szCs w:val="20"/>
              </w:rPr>
            </w:pPr>
          </w:p>
        </w:tc>
      </w:tr>
      <w:tr w:rsidR="00F96FC9" w14:paraId="2F340C7C" w14:textId="77777777" w:rsidTr="00E57599">
        <w:trPr>
          <w:trHeight w:val="567"/>
        </w:trPr>
        <w:tc>
          <w:tcPr>
            <w:tcW w:w="1277" w:type="dxa"/>
            <w:vAlign w:val="center"/>
          </w:tcPr>
          <w:p w14:paraId="465533C9" w14:textId="77777777" w:rsidR="00F96FC9" w:rsidRPr="00CB4AEB" w:rsidRDefault="00F96FC9" w:rsidP="00A91D5F">
            <w:pPr>
              <w:rPr>
                <w:rFonts w:cs="Calibri"/>
              </w:rPr>
            </w:pPr>
            <w:r w:rsidRPr="00CB4AEB">
              <w:rPr>
                <w:rFonts w:cs="Calibri"/>
                <w:color w:val="000000"/>
              </w:rPr>
              <w:t>AAA-03751</w:t>
            </w:r>
          </w:p>
        </w:tc>
        <w:tc>
          <w:tcPr>
            <w:tcW w:w="4252" w:type="dxa"/>
            <w:vAlign w:val="center"/>
          </w:tcPr>
          <w:p w14:paraId="4DB07D9C" w14:textId="77777777" w:rsidR="00F96FC9" w:rsidRPr="00CB4AEB" w:rsidRDefault="00F96FC9" w:rsidP="00A91D5F">
            <w:pPr>
              <w:rPr>
                <w:rFonts w:cs="Calibri"/>
              </w:rPr>
            </w:pPr>
            <w:r w:rsidRPr="00CB4AEB">
              <w:rPr>
                <w:rFonts w:cs="Calibri"/>
                <w:color w:val="000000"/>
              </w:rPr>
              <w:t>Microsoft SQL Server 2022 Standard pro 2 jádra</w:t>
            </w:r>
          </w:p>
        </w:tc>
        <w:tc>
          <w:tcPr>
            <w:tcW w:w="993" w:type="dxa"/>
            <w:vAlign w:val="center"/>
          </w:tcPr>
          <w:p w14:paraId="06CFB07A" w14:textId="77777777" w:rsidR="00F96FC9" w:rsidRPr="00CB4AEB" w:rsidRDefault="00F96FC9" w:rsidP="00A91D5F">
            <w:pPr>
              <w:jc w:val="center"/>
              <w:rPr>
                <w:rFonts w:cs="Calibri"/>
              </w:rPr>
            </w:pPr>
            <w:r w:rsidRPr="00CB4AEB">
              <w:rPr>
                <w:rFonts w:cs="Calibri"/>
                <w:color w:val="000000"/>
              </w:rPr>
              <w:t>30</w:t>
            </w:r>
          </w:p>
        </w:tc>
        <w:tc>
          <w:tcPr>
            <w:tcW w:w="1559" w:type="dxa"/>
            <w:shd w:val="clear" w:color="auto" w:fill="FFF2CC" w:themeFill="accent4" w:themeFillTint="33"/>
            <w:vAlign w:val="center"/>
          </w:tcPr>
          <w:p w14:paraId="68B1F3E3" w14:textId="77777777" w:rsidR="00F96FC9" w:rsidRPr="00FB2E2F" w:rsidRDefault="00F96FC9" w:rsidP="00A91D5F">
            <w:pPr>
              <w:jc w:val="center"/>
              <w:rPr>
                <w:rFonts w:cs="Calibri"/>
                <w:szCs w:val="20"/>
              </w:rPr>
            </w:pPr>
          </w:p>
        </w:tc>
        <w:tc>
          <w:tcPr>
            <w:tcW w:w="1559" w:type="dxa"/>
            <w:shd w:val="clear" w:color="auto" w:fill="FFF2CC" w:themeFill="accent4" w:themeFillTint="33"/>
            <w:vAlign w:val="center"/>
          </w:tcPr>
          <w:p w14:paraId="0DE634D1" w14:textId="77777777" w:rsidR="00F96FC9" w:rsidRPr="00FB2E2F" w:rsidRDefault="00F96FC9" w:rsidP="00A91D5F">
            <w:pPr>
              <w:jc w:val="center"/>
              <w:rPr>
                <w:rFonts w:cs="Calibri"/>
                <w:szCs w:val="20"/>
              </w:rPr>
            </w:pPr>
          </w:p>
        </w:tc>
        <w:tc>
          <w:tcPr>
            <w:tcW w:w="851" w:type="dxa"/>
            <w:shd w:val="clear" w:color="auto" w:fill="FFF2CC" w:themeFill="accent4" w:themeFillTint="33"/>
            <w:vAlign w:val="center"/>
          </w:tcPr>
          <w:p w14:paraId="5384F83D" w14:textId="77777777" w:rsidR="00F96FC9" w:rsidRPr="00FB2E2F" w:rsidRDefault="00F96FC9" w:rsidP="00A91D5F">
            <w:pPr>
              <w:jc w:val="center"/>
              <w:rPr>
                <w:rFonts w:cs="Calibri"/>
                <w:szCs w:val="20"/>
              </w:rPr>
            </w:pPr>
          </w:p>
        </w:tc>
      </w:tr>
      <w:tr w:rsidR="00F96FC9" w14:paraId="7907B4B0" w14:textId="77777777" w:rsidTr="00E57599">
        <w:trPr>
          <w:trHeight w:val="567"/>
        </w:trPr>
        <w:tc>
          <w:tcPr>
            <w:tcW w:w="1277" w:type="dxa"/>
            <w:vAlign w:val="center"/>
          </w:tcPr>
          <w:p w14:paraId="7ACFC018" w14:textId="77777777" w:rsidR="00F96FC9" w:rsidRPr="00CB4AEB" w:rsidRDefault="00F96FC9" w:rsidP="00A91D5F">
            <w:pPr>
              <w:rPr>
                <w:rFonts w:cs="Calibri"/>
              </w:rPr>
            </w:pPr>
            <w:r w:rsidRPr="00CB4AEB">
              <w:rPr>
                <w:rFonts w:cs="Calibri"/>
                <w:color w:val="000000"/>
              </w:rPr>
              <w:t>AAA-03871</w:t>
            </w:r>
          </w:p>
        </w:tc>
        <w:tc>
          <w:tcPr>
            <w:tcW w:w="4252" w:type="dxa"/>
            <w:vAlign w:val="center"/>
          </w:tcPr>
          <w:p w14:paraId="0F094AC3" w14:textId="77777777" w:rsidR="00F96FC9" w:rsidRPr="00CB4AEB" w:rsidRDefault="00F96FC9" w:rsidP="00A91D5F">
            <w:pPr>
              <w:rPr>
                <w:rFonts w:cs="Calibri"/>
              </w:rPr>
            </w:pPr>
            <w:r w:rsidRPr="00CB4AEB">
              <w:rPr>
                <w:rFonts w:cs="Calibri"/>
                <w:color w:val="000000"/>
              </w:rPr>
              <w:t>Microsoft Windows Remote Desktop Services 2025 (RDS) pro jednoho uživatele</w:t>
            </w:r>
          </w:p>
        </w:tc>
        <w:tc>
          <w:tcPr>
            <w:tcW w:w="993" w:type="dxa"/>
            <w:vAlign w:val="center"/>
          </w:tcPr>
          <w:p w14:paraId="7285DFFF" w14:textId="77777777" w:rsidR="00F96FC9" w:rsidRPr="00CB4AEB" w:rsidRDefault="00F96FC9" w:rsidP="00A91D5F">
            <w:pPr>
              <w:jc w:val="center"/>
              <w:rPr>
                <w:rFonts w:cs="Calibri"/>
              </w:rPr>
            </w:pPr>
            <w:r w:rsidRPr="00CB4AEB">
              <w:rPr>
                <w:rFonts w:cs="Calibri"/>
                <w:color w:val="000000"/>
              </w:rPr>
              <w:t>200</w:t>
            </w:r>
          </w:p>
        </w:tc>
        <w:tc>
          <w:tcPr>
            <w:tcW w:w="1559" w:type="dxa"/>
            <w:shd w:val="clear" w:color="auto" w:fill="FFF2CC" w:themeFill="accent4" w:themeFillTint="33"/>
            <w:vAlign w:val="center"/>
          </w:tcPr>
          <w:p w14:paraId="14EF2C94" w14:textId="77777777" w:rsidR="00F96FC9" w:rsidRPr="00FB2E2F" w:rsidRDefault="00F96FC9" w:rsidP="00A91D5F">
            <w:pPr>
              <w:jc w:val="center"/>
              <w:rPr>
                <w:rFonts w:cs="Calibri"/>
                <w:szCs w:val="20"/>
              </w:rPr>
            </w:pPr>
          </w:p>
        </w:tc>
        <w:tc>
          <w:tcPr>
            <w:tcW w:w="1559" w:type="dxa"/>
            <w:shd w:val="clear" w:color="auto" w:fill="FFF2CC" w:themeFill="accent4" w:themeFillTint="33"/>
            <w:vAlign w:val="center"/>
          </w:tcPr>
          <w:p w14:paraId="368DF5D2" w14:textId="77777777" w:rsidR="00F96FC9" w:rsidRPr="00FB2E2F" w:rsidRDefault="00F96FC9" w:rsidP="00A91D5F">
            <w:pPr>
              <w:jc w:val="center"/>
              <w:rPr>
                <w:rFonts w:cs="Calibri"/>
                <w:szCs w:val="20"/>
              </w:rPr>
            </w:pPr>
          </w:p>
        </w:tc>
        <w:tc>
          <w:tcPr>
            <w:tcW w:w="851" w:type="dxa"/>
            <w:shd w:val="clear" w:color="auto" w:fill="FFF2CC" w:themeFill="accent4" w:themeFillTint="33"/>
            <w:vAlign w:val="center"/>
          </w:tcPr>
          <w:p w14:paraId="7F1C3AC6" w14:textId="77777777" w:rsidR="00F96FC9" w:rsidRPr="00FB2E2F" w:rsidRDefault="00F96FC9" w:rsidP="00A91D5F">
            <w:pPr>
              <w:jc w:val="center"/>
              <w:rPr>
                <w:rFonts w:cs="Calibri"/>
                <w:szCs w:val="20"/>
              </w:rPr>
            </w:pPr>
          </w:p>
        </w:tc>
      </w:tr>
      <w:tr w:rsidR="00F96FC9" w14:paraId="5C9E527A" w14:textId="77777777" w:rsidTr="00E57599">
        <w:trPr>
          <w:gridAfter w:val="1"/>
          <w:wAfter w:w="851" w:type="dxa"/>
          <w:trHeight w:val="567"/>
        </w:trPr>
        <w:tc>
          <w:tcPr>
            <w:tcW w:w="8081" w:type="dxa"/>
            <w:gridSpan w:val="4"/>
            <w:vAlign w:val="center"/>
          </w:tcPr>
          <w:p w14:paraId="37ABC065" w14:textId="77777777" w:rsidR="00F96FC9" w:rsidRPr="00FB2E2F" w:rsidRDefault="00F96FC9" w:rsidP="00A91D5F">
            <w:pPr>
              <w:rPr>
                <w:rFonts w:cs="Calibri"/>
                <w:b/>
                <w:bCs/>
                <w:color w:val="000000"/>
                <w:sz w:val="24"/>
                <w:szCs w:val="24"/>
              </w:rPr>
            </w:pPr>
            <w:r w:rsidRPr="00FB2E2F">
              <w:rPr>
                <w:rFonts w:cs="Calibri"/>
                <w:b/>
                <w:bCs/>
                <w:color w:val="000000"/>
                <w:sz w:val="24"/>
                <w:szCs w:val="24"/>
              </w:rPr>
              <w:t>Nabídková cena celkem za celkový počet licencí v Kč bez DPH</w:t>
            </w:r>
          </w:p>
        </w:tc>
        <w:tc>
          <w:tcPr>
            <w:tcW w:w="1559" w:type="dxa"/>
            <w:shd w:val="clear" w:color="auto" w:fill="F7CAAC" w:themeFill="accent2" w:themeFillTint="66"/>
            <w:vAlign w:val="center"/>
          </w:tcPr>
          <w:p w14:paraId="5300B14A" w14:textId="77777777" w:rsidR="00F96FC9" w:rsidRPr="00FB2E2F" w:rsidRDefault="00F96FC9" w:rsidP="00A91D5F">
            <w:pPr>
              <w:jc w:val="center"/>
              <w:rPr>
                <w:rFonts w:cs="Calibri"/>
                <w:b/>
                <w:bCs/>
                <w:sz w:val="24"/>
                <w:szCs w:val="24"/>
              </w:rPr>
            </w:pPr>
          </w:p>
        </w:tc>
      </w:tr>
      <w:tr w:rsidR="00F96FC9" w14:paraId="628AC061" w14:textId="77777777" w:rsidTr="00E57599">
        <w:trPr>
          <w:gridAfter w:val="1"/>
          <w:wAfter w:w="851" w:type="dxa"/>
          <w:trHeight w:val="567"/>
        </w:trPr>
        <w:tc>
          <w:tcPr>
            <w:tcW w:w="8081" w:type="dxa"/>
            <w:gridSpan w:val="4"/>
            <w:vAlign w:val="center"/>
          </w:tcPr>
          <w:p w14:paraId="40CEF00E" w14:textId="77777777" w:rsidR="00F96FC9" w:rsidRPr="00FB2E2F" w:rsidRDefault="00F96FC9" w:rsidP="00A91D5F">
            <w:pPr>
              <w:rPr>
                <w:rFonts w:cs="Calibri"/>
                <w:b/>
                <w:bCs/>
                <w:color w:val="000000"/>
                <w:sz w:val="24"/>
                <w:szCs w:val="24"/>
              </w:rPr>
            </w:pPr>
            <w:r w:rsidRPr="00FB2E2F">
              <w:rPr>
                <w:rFonts w:cs="Calibri"/>
                <w:b/>
                <w:bCs/>
                <w:color w:val="000000"/>
                <w:sz w:val="24"/>
                <w:szCs w:val="24"/>
              </w:rPr>
              <w:t>Výše DPH v Kč</w:t>
            </w:r>
          </w:p>
        </w:tc>
        <w:tc>
          <w:tcPr>
            <w:tcW w:w="1559" w:type="dxa"/>
            <w:shd w:val="clear" w:color="auto" w:fill="F7CAAC" w:themeFill="accent2" w:themeFillTint="66"/>
            <w:vAlign w:val="center"/>
          </w:tcPr>
          <w:p w14:paraId="5DDC2BD7" w14:textId="77777777" w:rsidR="00F96FC9" w:rsidRPr="00FB2E2F" w:rsidRDefault="00F96FC9" w:rsidP="00A91D5F">
            <w:pPr>
              <w:jc w:val="center"/>
              <w:rPr>
                <w:rFonts w:cs="Calibri"/>
                <w:b/>
                <w:bCs/>
                <w:sz w:val="24"/>
                <w:szCs w:val="24"/>
              </w:rPr>
            </w:pPr>
          </w:p>
        </w:tc>
      </w:tr>
      <w:tr w:rsidR="00F96FC9" w14:paraId="73FE4A18" w14:textId="77777777" w:rsidTr="00E57599">
        <w:trPr>
          <w:gridAfter w:val="1"/>
          <w:wAfter w:w="851" w:type="dxa"/>
          <w:trHeight w:val="567"/>
        </w:trPr>
        <w:tc>
          <w:tcPr>
            <w:tcW w:w="8081" w:type="dxa"/>
            <w:gridSpan w:val="4"/>
            <w:vAlign w:val="center"/>
          </w:tcPr>
          <w:p w14:paraId="00032AF3" w14:textId="77777777" w:rsidR="00F96FC9" w:rsidRPr="00FB2E2F" w:rsidRDefault="00F96FC9" w:rsidP="00A91D5F">
            <w:pPr>
              <w:rPr>
                <w:rFonts w:cs="Calibri"/>
                <w:b/>
                <w:bCs/>
                <w:color w:val="000000"/>
                <w:sz w:val="24"/>
                <w:szCs w:val="24"/>
              </w:rPr>
            </w:pPr>
            <w:r w:rsidRPr="00FB2E2F">
              <w:rPr>
                <w:rFonts w:cs="Calibri"/>
                <w:b/>
                <w:bCs/>
                <w:color w:val="000000"/>
                <w:sz w:val="24"/>
                <w:szCs w:val="24"/>
              </w:rPr>
              <w:t>Nabídková cena celkem za celkový počet licencí v Kč s DPH</w:t>
            </w:r>
          </w:p>
        </w:tc>
        <w:tc>
          <w:tcPr>
            <w:tcW w:w="1559" w:type="dxa"/>
            <w:shd w:val="clear" w:color="auto" w:fill="F7CAAC" w:themeFill="accent2" w:themeFillTint="66"/>
            <w:vAlign w:val="center"/>
          </w:tcPr>
          <w:p w14:paraId="14935A5C" w14:textId="77777777" w:rsidR="00F96FC9" w:rsidRPr="00FB2E2F" w:rsidRDefault="00F96FC9" w:rsidP="00A91D5F">
            <w:pPr>
              <w:jc w:val="center"/>
              <w:rPr>
                <w:rFonts w:cs="Calibri"/>
                <w:b/>
                <w:bCs/>
                <w:sz w:val="24"/>
                <w:szCs w:val="24"/>
              </w:rPr>
            </w:pPr>
          </w:p>
        </w:tc>
      </w:tr>
    </w:tbl>
    <w:p w14:paraId="41E98BC4" w14:textId="77777777" w:rsidR="00834BC5" w:rsidRDefault="00834BC5" w:rsidP="00FB5ABA"/>
    <w:p w14:paraId="1E8D9308" w14:textId="64A37E1C" w:rsidR="00834BC5" w:rsidRPr="00D40067" w:rsidRDefault="00D40067" w:rsidP="00D40067">
      <w:pPr>
        <w:jc w:val="both"/>
        <w:rPr>
          <w:b/>
          <w:bCs/>
        </w:rPr>
      </w:pPr>
      <w:r w:rsidRPr="00D40067">
        <w:rPr>
          <w:rFonts w:ascii="Calibri" w:hAnsi="Calibri" w:cs="Calibri"/>
          <w:b/>
          <w:bCs/>
        </w:rPr>
        <w:t xml:space="preserve">Dodavatel je povinen v okamžiku dodání předmětu plnění dodat softwarové licence, které jsou posledními platným licencemi aktuálně vydaným výrobcem a jsou dostupné k distribuci ze strany výrobce a přímo navazují na požadované licence v rámci tohoto </w:t>
      </w:r>
      <w:r>
        <w:rPr>
          <w:rFonts w:ascii="Calibri" w:hAnsi="Calibri" w:cs="Calibri"/>
          <w:b/>
          <w:bCs/>
        </w:rPr>
        <w:t>zadávacího</w:t>
      </w:r>
      <w:r w:rsidRPr="00D40067">
        <w:rPr>
          <w:rFonts w:ascii="Calibri" w:hAnsi="Calibri" w:cs="Calibri"/>
          <w:b/>
          <w:bCs/>
        </w:rPr>
        <w:t xml:space="preserve"> řízení.</w:t>
      </w:r>
    </w:p>
    <w:p w14:paraId="3379468B" w14:textId="77777777" w:rsidR="00834BC5" w:rsidRDefault="00834BC5" w:rsidP="00FB5ABA"/>
    <w:p w14:paraId="023B0F19" w14:textId="77777777" w:rsidR="00834BC5" w:rsidRDefault="00834BC5" w:rsidP="00FB5ABA"/>
    <w:p w14:paraId="1329723D" w14:textId="77777777" w:rsidR="00F96FC9" w:rsidRDefault="00F96FC9" w:rsidP="00FB5ABA"/>
    <w:p w14:paraId="63AFD081" w14:textId="77777777" w:rsidR="00F96FC9" w:rsidRDefault="00F96FC9" w:rsidP="00FB5ABA"/>
    <w:p w14:paraId="015A6DA2" w14:textId="77777777" w:rsidR="00F96FC9" w:rsidRDefault="00F96FC9" w:rsidP="00FB5ABA"/>
    <w:p w14:paraId="178D6CAD" w14:textId="77777777" w:rsidR="00F96FC9" w:rsidRDefault="00F96FC9" w:rsidP="00FB5ABA"/>
    <w:p w14:paraId="1B9105A6" w14:textId="77777777" w:rsidR="00F96FC9" w:rsidRDefault="00F96FC9" w:rsidP="00F96FC9">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Příloha č. 4</w:t>
      </w:r>
    </w:p>
    <w:p w14:paraId="259284A0" w14:textId="77777777" w:rsidR="00F96FC9" w:rsidRPr="00E53A96" w:rsidRDefault="00F96FC9" w:rsidP="00F96FC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Kupujícího</w:t>
      </w:r>
    </w:p>
    <w:p w14:paraId="38C8E3CD" w14:textId="00F6C75E" w:rsidR="00F96FC9" w:rsidRDefault="00F96FC9" w:rsidP="00F96FC9">
      <w:r>
        <w:rPr>
          <w:b/>
          <w:color w:val="767171" w:themeColor="background2" w:themeShade="80"/>
          <w:highlight w:val="yellow"/>
        </w:rPr>
        <w:t xml:space="preserve">Prodávající </w:t>
      </w:r>
      <w:r w:rsidRPr="00EA7623">
        <w:rPr>
          <w:b/>
          <w:color w:val="767171" w:themeColor="background2" w:themeShade="80"/>
          <w:highlight w:val="yellow"/>
        </w:rPr>
        <w:t xml:space="preserve">zde uvede své požadavky na součinnost </w:t>
      </w:r>
      <w:r>
        <w:rPr>
          <w:b/>
          <w:color w:val="767171" w:themeColor="background2" w:themeShade="80"/>
          <w:highlight w:val="yellow"/>
        </w:rPr>
        <w:t>Kupujícího</w:t>
      </w:r>
      <w:r w:rsidRPr="00EA7623">
        <w:rPr>
          <w:b/>
          <w:color w:val="767171" w:themeColor="background2" w:themeShade="80"/>
          <w:highlight w:val="yellow"/>
        </w:rPr>
        <w:t xml:space="preserve"> nutné pro řádné a včasné </w:t>
      </w:r>
      <w:r>
        <w:rPr>
          <w:b/>
          <w:color w:val="767171" w:themeColor="background2" w:themeShade="80"/>
          <w:highlight w:val="yellow"/>
        </w:rPr>
        <w:t>předání předmětu koupě.</w:t>
      </w:r>
    </w:p>
    <w:p w14:paraId="3223E82B" w14:textId="77777777" w:rsidR="00F96FC9" w:rsidRDefault="00F96FC9" w:rsidP="00FB5ABA"/>
    <w:p w14:paraId="2F78F1EF" w14:textId="77777777" w:rsidR="00F96FC9" w:rsidRDefault="00F96FC9" w:rsidP="00FB5ABA"/>
    <w:p w14:paraId="13DB4778" w14:textId="77777777" w:rsidR="00F96FC9" w:rsidRDefault="00F96FC9" w:rsidP="00FB5ABA"/>
    <w:p w14:paraId="75E4A04C" w14:textId="77777777" w:rsidR="00F96FC9" w:rsidRDefault="00F96FC9" w:rsidP="00FB5ABA"/>
    <w:p w14:paraId="48B83E36" w14:textId="77777777" w:rsidR="00F96FC9" w:rsidRDefault="00F96FC9" w:rsidP="00FB5ABA"/>
    <w:p w14:paraId="6DC936DB" w14:textId="77777777" w:rsidR="00F96FC9" w:rsidRDefault="00F96FC9" w:rsidP="00FB5ABA"/>
    <w:p w14:paraId="4E24E640" w14:textId="77777777" w:rsidR="00F96FC9" w:rsidRDefault="00F96FC9" w:rsidP="00FB5ABA"/>
    <w:p w14:paraId="78C41289" w14:textId="77777777" w:rsidR="00F96FC9" w:rsidRDefault="00F96FC9" w:rsidP="00FB5ABA"/>
    <w:p w14:paraId="6F112CF2" w14:textId="77777777" w:rsidR="00F96FC9" w:rsidRDefault="00F96FC9" w:rsidP="00FB5ABA"/>
    <w:p w14:paraId="015178B9" w14:textId="77777777" w:rsidR="00F96FC9" w:rsidRDefault="00F96FC9" w:rsidP="00FB5ABA"/>
    <w:p w14:paraId="2E063AEA" w14:textId="77777777" w:rsidR="00F96FC9" w:rsidRDefault="00F96FC9" w:rsidP="00FB5ABA"/>
    <w:p w14:paraId="156AE798" w14:textId="77777777" w:rsidR="00F96FC9" w:rsidRDefault="00F96FC9" w:rsidP="00FB5ABA"/>
    <w:p w14:paraId="54FCA8AB" w14:textId="77777777" w:rsidR="00F96FC9" w:rsidRDefault="00F96FC9" w:rsidP="00FB5ABA"/>
    <w:p w14:paraId="47C8F4B4" w14:textId="77777777" w:rsidR="00F96FC9" w:rsidRDefault="00F96FC9" w:rsidP="00FB5ABA"/>
    <w:p w14:paraId="27DED7B1" w14:textId="77777777" w:rsidR="00F96FC9" w:rsidRDefault="00F96FC9" w:rsidP="00FB5ABA"/>
    <w:p w14:paraId="0A74BB39" w14:textId="77777777" w:rsidR="00F96FC9" w:rsidRDefault="00F96FC9" w:rsidP="00FB5ABA"/>
    <w:p w14:paraId="00ACC1A6" w14:textId="77777777" w:rsidR="00F96FC9" w:rsidRDefault="00F96FC9" w:rsidP="00FB5ABA"/>
    <w:p w14:paraId="1C0602DE" w14:textId="77777777" w:rsidR="00F96FC9" w:rsidRDefault="00F96FC9" w:rsidP="00FB5ABA"/>
    <w:p w14:paraId="3DF3EE35" w14:textId="77777777" w:rsidR="00F96FC9" w:rsidRDefault="00F96FC9" w:rsidP="00FB5ABA"/>
    <w:p w14:paraId="55D67D90" w14:textId="77777777" w:rsidR="00F96FC9" w:rsidRDefault="00F96FC9" w:rsidP="00FB5ABA"/>
    <w:p w14:paraId="1497107B" w14:textId="77777777" w:rsidR="00F96FC9" w:rsidRDefault="00F96FC9" w:rsidP="00FB5ABA"/>
    <w:p w14:paraId="399FB51D" w14:textId="77777777" w:rsidR="00F96FC9" w:rsidRDefault="00F96FC9" w:rsidP="00FB5ABA"/>
    <w:p w14:paraId="2524CC96" w14:textId="77777777" w:rsidR="00F96FC9" w:rsidRDefault="00F96FC9" w:rsidP="00F96FC9">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Pr>
          <w:rFonts w:asciiTheme="minorHAnsi" w:hAnsiTheme="minorHAnsi"/>
          <w:color w:val="auto"/>
          <w:szCs w:val="22"/>
        </w:rPr>
        <w:t>5</w:t>
      </w:r>
    </w:p>
    <w:p w14:paraId="0FC95F07" w14:textId="77777777" w:rsidR="00F96FC9" w:rsidRPr="008071A0" w:rsidRDefault="00F96FC9" w:rsidP="00F96FC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3B4F3C6D" w14:textId="77777777" w:rsidR="00F96FC9" w:rsidRPr="00F90E81" w:rsidRDefault="00F96FC9" w:rsidP="00F96FC9">
      <w:pPr>
        <w:spacing w:line="240" w:lineRule="auto"/>
        <w:rPr>
          <w:b/>
        </w:rPr>
      </w:pPr>
      <w:r w:rsidRPr="00F90E81">
        <w:rPr>
          <w:b/>
        </w:rPr>
        <w:t>Osoby odpovědné za plnění závazků</w:t>
      </w:r>
      <w:r>
        <w:rPr>
          <w:b/>
        </w:rPr>
        <w:t xml:space="preserve"> dle této smlouvy</w:t>
      </w:r>
      <w:r w:rsidRPr="00F90E81">
        <w:rPr>
          <w:b/>
        </w:rPr>
        <w:t>:</w:t>
      </w:r>
    </w:p>
    <w:p w14:paraId="69CDF3DE" w14:textId="77777777" w:rsidR="00F96FC9" w:rsidRPr="002C5802" w:rsidRDefault="00F96FC9" w:rsidP="00F96FC9">
      <w:pPr>
        <w:rPr>
          <w:rFonts w:cs="Arial"/>
          <w:bCs/>
        </w:rPr>
      </w:pPr>
      <w:r w:rsidRPr="002C5802">
        <w:rPr>
          <w:rFonts w:cs="Arial"/>
          <w:bCs/>
        </w:rPr>
        <w:t xml:space="preserve">Za každou stranu </w:t>
      </w:r>
      <w:r>
        <w:rPr>
          <w:rFonts w:cs="Arial"/>
          <w:bCs/>
        </w:rPr>
        <w:t>může být uvedeno více osob, pokud bude vyznačena jejich kompetence.</w:t>
      </w:r>
    </w:p>
    <w:p w14:paraId="1D11766C" w14:textId="77777777" w:rsidR="00F96FC9" w:rsidRDefault="00F96FC9" w:rsidP="00F96FC9">
      <w:pPr>
        <w:spacing w:after="0"/>
        <w:rPr>
          <w:rFonts w:cs="Arial"/>
          <w:b/>
          <w:bCs/>
        </w:rPr>
      </w:pPr>
      <w:r>
        <w:rPr>
          <w:rFonts w:cs="Arial"/>
          <w:b/>
          <w:bCs/>
        </w:rPr>
        <w:t>Prodávající:</w:t>
      </w:r>
    </w:p>
    <w:p w14:paraId="41F8E0DB" w14:textId="77777777" w:rsidR="00F96FC9" w:rsidRPr="00F90E81" w:rsidRDefault="00F96FC9" w:rsidP="00F96FC9">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3D70050" w14:textId="77777777" w:rsidR="00F96FC9" w:rsidRPr="00F90E81" w:rsidRDefault="00F96FC9" w:rsidP="00F96FC9">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6A33ACDD" w14:textId="77777777" w:rsidR="00F96FC9" w:rsidRPr="00F90E81" w:rsidRDefault="00F96FC9" w:rsidP="00F96FC9">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5B7B9624" w14:textId="77777777" w:rsidR="00F96FC9" w:rsidRPr="00F90E81" w:rsidRDefault="00F96FC9" w:rsidP="00F96FC9">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…….@.........cz</w:t>
      </w:r>
    </w:p>
    <w:p w14:paraId="2F3BC696" w14:textId="77777777" w:rsidR="00F96FC9" w:rsidRPr="00F90E81" w:rsidRDefault="00F96FC9" w:rsidP="00F96FC9">
      <w:pPr>
        <w:spacing w:after="0" w:line="240" w:lineRule="auto"/>
        <w:rPr>
          <w:rFonts w:cs="Arial"/>
          <w:bCs/>
          <w:highlight w:val="yellow"/>
        </w:rPr>
      </w:pPr>
      <w:r w:rsidRPr="00F90E81">
        <w:rPr>
          <w:rFonts w:cs="Arial"/>
          <w:bCs/>
          <w:highlight w:val="yellow"/>
        </w:rPr>
        <w:tab/>
      </w:r>
    </w:p>
    <w:p w14:paraId="233E245D" w14:textId="77777777" w:rsidR="00F96FC9" w:rsidRPr="00F90E81" w:rsidRDefault="00F96FC9" w:rsidP="00F96FC9">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2205BC49" w14:textId="77777777" w:rsidR="00F96FC9" w:rsidRPr="00F90E81" w:rsidRDefault="00F96FC9" w:rsidP="00F96FC9">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5114EE59" w14:textId="77777777" w:rsidR="00F96FC9" w:rsidRPr="00F90E81" w:rsidRDefault="00F96FC9" w:rsidP="00F96FC9">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2B089E28" w14:textId="77777777" w:rsidR="00F96FC9" w:rsidRPr="00ED0604" w:rsidRDefault="00F96FC9" w:rsidP="00F96FC9">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…….@.........cz</w:t>
      </w:r>
    </w:p>
    <w:p w14:paraId="04A8257F" w14:textId="77777777" w:rsidR="00F96FC9" w:rsidRDefault="00F96FC9" w:rsidP="00F96FC9">
      <w:pPr>
        <w:spacing w:after="0"/>
        <w:rPr>
          <w:rFonts w:cs="Arial"/>
          <w:b/>
          <w:bCs/>
        </w:rPr>
      </w:pPr>
    </w:p>
    <w:p w14:paraId="41B33F1F" w14:textId="77777777" w:rsidR="00F96FC9" w:rsidRDefault="00F96FC9" w:rsidP="00F96FC9">
      <w:pPr>
        <w:spacing w:after="0"/>
        <w:rPr>
          <w:rFonts w:cs="Arial"/>
          <w:b/>
          <w:bCs/>
        </w:rPr>
      </w:pPr>
      <w:r>
        <w:rPr>
          <w:rFonts w:cs="Arial"/>
          <w:b/>
          <w:bCs/>
        </w:rPr>
        <w:t>Kupující:</w:t>
      </w:r>
    </w:p>
    <w:p w14:paraId="148954C4" w14:textId="77777777" w:rsidR="00F96FC9" w:rsidRPr="00177C9A" w:rsidRDefault="00F96FC9" w:rsidP="00F96FC9">
      <w:pPr>
        <w:spacing w:after="0" w:line="240" w:lineRule="auto"/>
        <w:ind w:firstLine="708"/>
        <w:rPr>
          <w:rFonts w:cs="Arial"/>
          <w:bCs/>
        </w:rPr>
      </w:pPr>
      <w:r w:rsidRPr="00177C9A">
        <w:rPr>
          <w:rFonts w:cs="Arial"/>
          <w:bCs/>
        </w:rPr>
        <w:t>Jméno:</w:t>
      </w:r>
      <w:r w:rsidRPr="00177C9A">
        <w:rPr>
          <w:rFonts w:cs="Arial"/>
          <w:bCs/>
        </w:rPr>
        <w:tab/>
      </w:r>
      <w:r w:rsidRPr="00177C9A">
        <w:rPr>
          <w:rFonts w:cs="Arial"/>
          <w:bCs/>
        </w:rPr>
        <w:tab/>
      </w:r>
      <w:r w:rsidRPr="00177C9A">
        <w:rPr>
          <w:rFonts w:cs="Arial"/>
          <w:bCs/>
        </w:rPr>
        <w:tab/>
        <w:t>Bohumil Biško</w:t>
      </w:r>
    </w:p>
    <w:p w14:paraId="7385A822" w14:textId="77777777" w:rsidR="00F96FC9" w:rsidRPr="00177C9A" w:rsidRDefault="00F96FC9" w:rsidP="00F96FC9">
      <w:pPr>
        <w:spacing w:after="0" w:line="240" w:lineRule="auto"/>
        <w:rPr>
          <w:rFonts w:cs="Arial"/>
          <w:bCs/>
        </w:rPr>
      </w:pPr>
      <w:r w:rsidRPr="00177C9A">
        <w:rPr>
          <w:rFonts w:cs="Arial"/>
          <w:bCs/>
        </w:rPr>
        <w:tab/>
        <w:t>Pracovní zařazení:</w:t>
      </w:r>
      <w:r w:rsidRPr="00177C9A">
        <w:rPr>
          <w:rFonts w:cs="Arial"/>
          <w:bCs/>
        </w:rPr>
        <w:tab/>
      </w:r>
      <w:r>
        <w:rPr>
          <w:rFonts w:cs="Arial"/>
          <w:bCs/>
        </w:rPr>
        <w:t>správce softwarových licencí</w:t>
      </w:r>
    </w:p>
    <w:p w14:paraId="699024BF" w14:textId="77777777" w:rsidR="00F96FC9" w:rsidRPr="00177C9A" w:rsidRDefault="00F96FC9" w:rsidP="00F96FC9">
      <w:pPr>
        <w:spacing w:after="0" w:line="240" w:lineRule="auto"/>
        <w:rPr>
          <w:rFonts w:cs="Arial"/>
          <w:bCs/>
        </w:rPr>
      </w:pPr>
      <w:r w:rsidRPr="00177C9A">
        <w:rPr>
          <w:rFonts w:cs="Arial"/>
          <w:bCs/>
        </w:rPr>
        <w:tab/>
        <w:t>tel.:</w:t>
      </w:r>
      <w:r w:rsidRPr="00177C9A">
        <w:rPr>
          <w:rFonts w:cs="Arial"/>
          <w:bCs/>
        </w:rPr>
        <w:tab/>
      </w:r>
      <w:r w:rsidRPr="00177C9A">
        <w:rPr>
          <w:rFonts w:cs="Arial"/>
          <w:bCs/>
        </w:rPr>
        <w:tab/>
      </w:r>
      <w:r w:rsidRPr="00177C9A">
        <w:rPr>
          <w:rFonts w:cs="Arial"/>
          <w:bCs/>
        </w:rPr>
        <w:tab/>
      </w:r>
      <w:r>
        <w:rPr>
          <w:rFonts w:cs="Arial"/>
          <w:bCs/>
        </w:rPr>
        <w:t>466 011 276</w:t>
      </w:r>
    </w:p>
    <w:p w14:paraId="59DEB217" w14:textId="77777777" w:rsidR="00F96FC9" w:rsidRPr="00177C9A" w:rsidRDefault="00F96FC9" w:rsidP="00F96FC9">
      <w:pPr>
        <w:spacing w:after="0" w:line="240" w:lineRule="auto"/>
        <w:rPr>
          <w:rStyle w:val="Hypertextovodkaz"/>
        </w:rPr>
      </w:pPr>
      <w:r w:rsidRPr="00177C9A">
        <w:rPr>
          <w:rFonts w:cs="Arial"/>
          <w:bCs/>
        </w:rPr>
        <w:tab/>
        <w:t>email:</w:t>
      </w:r>
      <w:r w:rsidRPr="00177C9A">
        <w:rPr>
          <w:rFonts w:cs="Arial"/>
          <w:bCs/>
        </w:rPr>
        <w:tab/>
      </w:r>
      <w:r w:rsidRPr="00177C9A">
        <w:rPr>
          <w:rFonts w:cs="Arial"/>
          <w:bCs/>
        </w:rPr>
        <w:tab/>
      </w:r>
      <w:r w:rsidRPr="00177C9A">
        <w:rPr>
          <w:rFonts w:cs="Arial"/>
          <w:bCs/>
        </w:rPr>
        <w:tab/>
      </w:r>
      <w:r w:rsidRPr="00177C9A">
        <w:rPr>
          <w:color w:val="0563C1" w:themeColor="hyperlink"/>
          <w:u w:val="single"/>
        </w:rPr>
        <w:t>bohumil.bisko@nempk.cz</w:t>
      </w:r>
    </w:p>
    <w:p w14:paraId="4F62FC1D" w14:textId="77777777" w:rsidR="00F96FC9" w:rsidRPr="00F90E81" w:rsidRDefault="00F96FC9" w:rsidP="00F96FC9">
      <w:pPr>
        <w:spacing w:after="0" w:line="240" w:lineRule="auto"/>
        <w:ind w:firstLine="708"/>
        <w:rPr>
          <w:rFonts w:cs="Arial"/>
          <w:bCs/>
          <w:highlight w:val="cyan"/>
        </w:rPr>
      </w:pPr>
    </w:p>
    <w:p w14:paraId="236EC39F" w14:textId="77777777" w:rsidR="00F96FC9" w:rsidRPr="00F90E81" w:rsidRDefault="00F96FC9" w:rsidP="00F96FC9">
      <w:pPr>
        <w:spacing w:after="0" w:line="240" w:lineRule="auto"/>
        <w:ind w:firstLine="708"/>
        <w:rPr>
          <w:rFonts w:cs="Arial"/>
          <w:bCs/>
          <w:highlight w:val="cyan"/>
        </w:rPr>
      </w:pPr>
    </w:p>
    <w:p w14:paraId="6B53717E" w14:textId="77777777" w:rsidR="00F96FC9" w:rsidRPr="00452697" w:rsidRDefault="00F96FC9" w:rsidP="00F96FC9">
      <w:pPr>
        <w:spacing w:after="0" w:line="240" w:lineRule="auto"/>
        <w:ind w:firstLine="708"/>
        <w:rPr>
          <w:rFonts w:cs="Arial"/>
          <w:bCs/>
        </w:rPr>
      </w:pPr>
      <w:r w:rsidRPr="00452697">
        <w:rPr>
          <w:rFonts w:cs="Arial"/>
          <w:bCs/>
        </w:rPr>
        <w:t>Jméno:</w:t>
      </w:r>
      <w:r w:rsidRPr="00452697">
        <w:rPr>
          <w:rFonts w:cs="Arial"/>
          <w:bCs/>
        </w:rPr>
        <w:tab/>
      </w:r>
      <w:r w:rsidRPr="00452697">
        <w:rPr>
          <w:rFonts w:cs="Arial"/>
          <w:bCs/>
        </w:rPr>
        <w:tab/>
      </w:r>
      <w:r w:rsidRPr="00452697">
        <w:rPr>
          <w:rFonts w:cs="Arial"/>
          <w:bCs/>
        </w:rPr>
        <w:tab/>
        <w:t>Martin Maršík</w:t>
      </w:r>
    </w:p>
    <w:p w14:paraId="7B35DA98" w14:textId="77777777" w:rsidR="00F96FC9" w:rsidRPr="00452697" w:rsidRDefault="00F96FC9" w:rsidP="00F96FC9">
      <w:pPr>
        <w:spacing w:after="0" w:line="240" w:lineRule="auto"/>
        <w:ind w:firstLine="708"/>
        <w:rPr>
          <w:rFonts w:cs="Arial"/>
          <w:bCs/>
        </w:rPr>
      </w:pPr>
      <w:r w:rsidRPr="00452697">
        <w:rPr>
          <w:rFonts w:cs="Arial"/>
          <w:bCs/>
        </w:rPr>
        <w:t>Pracovní zařazení:</w:t>
      </w:r>
      <w:r w:rsidRPr="00452697">
        <w:rPr>
          <w:rFonts w:cs="Arial"/>
          <w:bCs/>
        </w:rPr>
        <w:tab/>
        <w:t>ředitel úseku ICT</w:t>
      </w:r>
    </w:p>
    <w:p w14:paraId="5C0FE1BE" w14:textId="77777777" w:rsidR="00F96FC9" w:rsidRDefault="00F96FC9" w:rsidP="00F96FC9">
      <w:pPr>
        <w:spacing w:after="0" w:line="240" w:lineRule="auto"/>
        <w:rPr>
          <w:rFonts w:cs="Arial"/>
          <w:b/>
          <w:bCs/>
        </w:rPr>
      </w:pPr>
      <w:r w:rsidRPr="00452697">
        <w:rPr>
          <w:rFonts w:cs="Arial"/>
          <w:bCs/>
        </w:rPr>
        <w:tab/>
        <w:t>tel.:</w:t>
      </w:r>
      <w:r w:rsidRPr="00452697">
        <w:rPr>
          <w:rFonts w:cs="Arial"/>
          <w:bCs/>
        </w:rPr>
        <w:tab/>
      </w:r>
      <w:r w:rsidRPr="00452697">
        <w:rPr>
          <w:rFonts w:cs="Arial"/>
          <w:bCs/>
        </w:rPr>
        <w:tab/>
      </w:r>
      <w:r w:rsidRPr="00452697">
        <w:rPr>
          <w:rFonts w:cs="Arial"/>
          <w:bCs/>
        </w:rPr>
        <w:tab/>
      </w:r>
      <w:r>
        <w:rPr>
          <w:rFonts w:cs="Arial"/>
          <w:bCs/>
        </w:rPr>
        <w:t>+420 </w:t>
      </w:r>
      <w:r w:rsidRPr="00452697">
        <w:rPr>
          <w:rFonts w:cs="Arial"/>
          <w:bCs/>
        </w:rPr>
        <w:t>607</w:t>
      </w:r>
      <w:r>
        <w:rPr>
          <w:rFonts w:cs="Arial"/>
          <w:bCs/>
        </w:rPr>
        <w:t> </w:t>
      </w:r>
      <w:r w:rsidRPr="00452697">
        <w:rPr>
          <w:rFonts w:cs="Arial"/>
          <w:bCs/>
        </w:rPr>
        <w:t>258</w:t>
      </w:r>
      <w:r>
        <w:rPr>
          <w:rFonts w:cs="Arial"/>
          <w:bCs/>
        </w:rPr>
        <w:t xml:space="preserve"> </w:t>
      </w:r>
      <w:r w:rsidRPr="00452697">
        <w:rPr>
          <w:rFonts w:cs="Arial"/>
          <w:bCs/>
        </w:rPr>
        <w:t>547</w:t>
      </w:r>
    </w:p>
    <w:p w14:paraId="45B38D17" w14:textId="77777777" w:rsidR="00F96FC9" w:rsidRDefault="00F96FC9" w:rsidP="00F96FC9">
      <w:r w:rsidRPr="00452697">
        <w:rPr>
          <w:rFonts w:cs="Arial"/>
          <w:bCs/>
        </w:rPr>
        <w:tab/>
        <w:t>email:</w:t>
      </w:r>
      <w:r w:rsidRPr="00452697">
        <w:rPr>
          <w:rFonts w:cs="Arial"/>
          <w:bCs/>
        </w:rPr>
        <w:tab/>
      </w:r>
      <w:r w:rsidRPr="00452697">
        <w:rPr>
          <w:rFonts w:cs="Arial"/>
          <w:bCs/>
        </w:rPr>
        <w:tab/>
      </w:r>
      <w:r w:rsidRPr="00452697">
        <w:rPr>
          <w:rFonts w:cs="Arial"/>
          <w:bCs/>
        </w:rPr>
        <w:tab/>
      </w:r>
      <w:hyperlink r:id="rId12" w:history="1">
        <w:r w:rsidRPr="00452697">
          <w:rPr>
            <w:rStyle w:val="Hypertextovodkaz"/>
            <w:rFonts w:cs="Arial"/>
            <w:bCs/>
          </w:rPr>
          <w:t>martin.marsik</w:t>
        </w:r>
        <w:r w:rsidRPr="00452697">
          <w:rPr>
            <w:rStyle w:val="Hypertextovodkaz"/>
          </w:rPr>
          <w:t>@nempk.cz</w:t>
        </w:r>
      </w:hyperlink>
    </w:p>
    <w:p w14:paraId="54CB3E52" w14:textId="77777777" w:rsidR="00F96FC9" w:rsidRDefault="00F96FC9" w:rsidP="00F96FC9"/>
    <w:p w14:paraId="13957759" w14:textId="77777777" w:rsidR="00F96FC9" w:rsidRDefault="00F96FC9" w:rsidP="00F96FC9"/>
    <w:p w14:paraId="566865A0" w14:textId="77777777" w:rsidR="00F96FC9" w:rsidRDefault="00F96FC9" w:rsidP="00F96FC9"/>
    <w:p w14:paraId="34B7860A" w14:textId="77777777" w:rsidR="00F96FC9" w:rsidRDefault="00F96FC9" w:rsidP="00F96FC9"/>
    <w:p w14:paraId="6DB0F1B2" w14:textId="77777777" w:rsidR="00F96FC9" w:rsidRDefault="00F96FC9" w:rsidP="00F96FC9"/>
    <w:p w14:paraId="68A9FD0E" w14:textId="77777777" w:rsidR="00F96FC9" w:rsidRDefault="00F96FC9" w:rsidP="00F96FC9"/>
    <w:p w14:paraId="1A34E8F8" w14:textId="77777777" w:rsidR="00F96FC9" w:rsidRDefault="00F96FC9" w:rsidP="00F96FC9"/>
    <w:p w14:paraId="1D420AD4" w14:textId="77777777" w:rsidR="00F96FC9" w:rsidRDefault="00F96FC9" w:rsidP="001D4B1E">
      <w:pPr>
        <w:spacing w:after="0"/>
      </w:pPr>
    </w:p>
    <w:p w14:paraId="4B4A246D" w14:textId="77777777" w:rsidR="00F96FC9" w:rsidRDefault="00F96FC9" w:rsidP="00F96FC9">
      <w:pPr>
        <w:pStyle w:val="Nadpis1"/>
        <w:keepNext w:val="0"/>
        <w:tabs>
          <w:tab w:val="left" w:pos="0"/>
        </w:tabs>
        <w:spacing w:before="240" w:after="240" w:line="240" w:lineRule="auto"/>
        <w:jc w:val="both"/>
        <w:rPr>
          <w:rFonts w:asciiTheme="minorHAnsi" w:hAnsiTheme="minorHAnsi"/>
          <w:color w:val="auto"/>
          <w:szCs w:val="22"/>
        </w:rPr>
      </w:pPr>
      <w:r w:rsidRPr="00B01F17">
        <w:rPr>
          <w:rFonts w:asciiTheme="minorHAnsi" w:hAnsiTheme="minorHAnsi"/>
          <w:color w:val="auto"/>
          <w:szCs w:val="22"/>
        </w:rPr>
        <w:t xml:space="preserve">Příloha č. </w:t>
      </w:r>
      <w:r>
        <w:rPr>
          <w:rFonts w:asciiTheme="minorHAnsi" w:hAnsiTheme="minorHAnsi"/>
          <w:color w:val="auto"/>
          <w:szCs w:val="22"/>
        </w:rPr>
        <w:t>6</w:t>
      </w:r>
    </w:p>
    <w:p w14:paraId="76644B14" w14:textId="77777777" w:rsidR="00F96FC9" w:rsidRPr="00B01F17" w:rsidRDefault="00F96FC9" w:rsidP="00F96FC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0A1242C" w14:textId="77777777" w:rsidR="00F96FC9" w:rsidRPr="00654EA7" w:rsidRDefault="00F96FC9" w:rsidP="00F96FC9">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40F560A9" w14:textId="77777777" w:rsidR="00F96FC9" w:rsidRPr="00654EA7" w:rsidRDefault="00F96FC9" w:rsidP="00F96FC9">
      <w:pPr>
        <w:spacing w:after="120" w:line="252" w:lineRule="auto"/>
        <w:rPr>
          <w:b/>
          <w:bCs/>
          <w:lang w:eastAsia="en-US"/>
        </w:rPr>
      </w:pPr>
    </w:p>
    <w:p w14:paraId="208A0179" w14:textId="77777777" w:rsidR="00F96FC9" w:rsidRPr="001D4B1E" w:rsidRDefault="00F96FC9" w:rsidP="00F96FC9">
      <w:pPr>
        <w:pStyle w:val="Odstavecseseznamem"/>
        <w:numPr>
          <w:ilvl w:val="0"/>
          <w:numId w:val="36"/>
        </w:numPr>
        <w:spacing w:before="0" w:after="120" w:line="252" w:lineRule="auto"/>
        <w:ind w:left="426" w:hanging="426"/>
        <w:rPr>
          <w:b/>
          <w:bCs/>
          <w:sz w:val="22"/>
          <w:szCs w:val="22"/>
          <w:lang w:eastAsia="en-US"/>
        </w:rPr>
      </w:pPr>
      <w:r w:rsidRPr="001D4B1E">
        <w:rPr>
          <w:b/>
          <w:bCs/>
          <w:sz w:val="22"/>
          <w:szCs w:val="22"/>
          <w:lang w:eastAsia="en-US"/>
        </w:rPr>
        <w:t>Účel</w:t>
      </w:r>
    </w:p>
    <w:p w14:paraId="6967483C" w14:textId="77777777" w:rsidR="00F96FC9" w:rsidRPr="00654EA7" w:rsidRDefault="00F96FC9" w:rsidP="00F96FC9">
      <w:pPr>
        <w:spacing w:after="120" w:line="252" w:lineRule="auto"/>
        <w:ind w:left="426"/>
        <w:jc w:val="both"/>
        <w:rPr>
          <w:lang w:eastAsia="en-US"/>
        </w:rPr>
      </w:pPr>
      <w:r w:rsidRPr="00654EA7">
        <w:rPr>
          <w:lang w:eastAsia="en-US"/>
        </w:rPr>
        <w:t>Tato příloha Smlouvy stanoví způsoby a úrovně realizace bezpečnostních opatření pro Zhotovitele a určuje vzájemný vztah odpovědnosti za zavedení a kontrolu bezpečnostních opatření mezi Objednatelem a Zhotovitelem. Požadavky na Zhotovitele jsou definovány dle platné právní úpravy, především pak dle ZoKB, VKB.</w:t>
      </w:r>
    </w:p>
    <w:p w14:paraId="3A4B185D" w14:textId="77777777" w:rsidR="00F96FC9" w:rsidRPr="00654EA7" w:rsidRDefault="00F96FC9" w:rsidP="00F96FC9">
      <w:pPr>
        <w:spacing w:after="120" w:line="252" w:lineRule="auto"/>
        <w:ind w:left="426"/>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6DF27735" w14:textId="77777777" w:rsidR="00F96FC9" w:rsidRPr="001D4B1E" w:rsidRDefault="00F96FC9" w:rsidP="00F96FC9">
      <w:pPr>
        <w:pStyle w:val="Odstavecseseznamem"/>
        <w:numPr>
          <w:ilvl w:val="0"/>
          <w:numId w:val="36"/>
        </w:numPr>
        <w:spacing w:before="0" w:after="120" w:line="252" w:lineRule="auto"/>
        <w:ind w:left="426" w:hanging="426"/>
        <w:rPr>
          <w:b/>
          <w:bCs/>
          <w:sz w:val="22"/>
          <w:szCs w:val="22"/>
          <w:lang w:eastAsia="en-US"/>
        </w:rPr>
      </w:pPr>
      <w:r w:rsidRPr="001D4B1E">
        <w:rPr>
          <w:b/>
          <w:bCs/>
          <w:sz w:val="22"/>
          <w:szCs w:val="22"/>
          <w:lang w:eastAsia="en-US"/>
        </w:rPr>
        <w:t>Bezpečnost informací</w:t>
      </w:r>
    </w:p>
    <w:p w14:paraId="09D41AC7" w14:textId="77777777" w:rsidR="00F96FC9" w:rsidRPr="00654EA7" w:rsidRDefault="00F96FC9" w:rsidP="00F96FC9">
      <w:pPr>
        <w:spacing w:after="120" w:line="252" w:lineRule="auto"/>
        <w:ind w:left="426"/>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913F4C6" w14:textId="77777777" w:rsidR="00F96FC9" w:rsidRPr="00654EA7" w:rsidRDefault="00F96FC9" w:rsidP="00F96FC9">
      <w:pPr>
        <w:spacing w:after="120" w:line="252" w:lineRule="auto"/>
        <w:ind w:left="426"/>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57D9495" w14:textId="01B467E4" w:rsidR="00F96FC9" w:rsidRPr="00654EA7" w:rsidRDefault="00F96FC9" w:rsidP="001D4B1E">
      <w:pPr>
        <w:spacing w:after="120" w:line="252" w:lineRule="auto"/>
        <w:ind w:left="360" w:firstLine="66"/>
        <w:rPr>
          <w:lang w:eastAsia="en-US"/>
        </w:rPr>
      </w:pPr>
      <w:r w:rsidRPr="00654EA7">
        <w:rPr>
          <w:lang w:eastAsia="en-US"/>
        </w:rPr>
        <w:t>Povinnost mlčenlivosti dle této přílohy Smlouvy se nevztahuje na informace:</w:t>
      </w:r>
    </w:p>
    <w:p w14:paraId="1DB9FDE2" w14:textId="77777777" w:rsidR="00F96FC9" w:rsidRPr="00654EA7" w:rsidRDefault="00F96FC9" w:rsidP="00F96FC9">
      <w:pPr>
        <w:numPr>
          <w:ilvl w:val="0"/>
          <w:numId w:val="28"/>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034D9435" w14:textId="77777777" w:rsidR="00F96FC9" w:rsidRPr="00654EA7" w:rsidRDefault="00F96FC9" w:rsidP="00F96FC9">
      <w:pPr>
        <w:numPr>
          <w:ilvl w:val="0"/>
          <w:numId w:val="28"/>
        </w:numPr>
        <w:spacing w:after="120" w:line="252" w:lineRule="auto"/>
        <w:ind w:left="1080"/>
        <w:jc w:val="both"/>
        <w:rPr>
          <w:lang w:eastAsia="en-US"/>
        </w:rPr>
      </w:pPr>
      <w:r w:rsidRPr="00654EA7">
        <w:rPr>
          <w:lang w:eastAsia="en-US"/>
        </w:rPr>
        <w:lastRenderedPageBreak/>
        <w:t>které jsou Zhotoviteli známy a které měl Zhotovitel prokazatelně volně k dispozici ještě před přijetím těchto informací od Objednatele;</w:t>
      </w:r>
    </w:p>
    <w:p w14:paraId="523B6535" w14:textId="77777777" w:rsidR="00F96FC9" w:rsidRPr="00654EA7" w:rsidRDefault="00F96FC9" w:rsidP="00F96FC9">
      <w:pPr>
        <w:numPr>
          <w:ilvl w:val="0"/>
          <w:numId w:val="28"/>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4BA685B0" w14:textId="77777777" w:rsidR="00F96FC9" w:rsidRPr="00FB2E2F" w:rsidRDefault="00F96FC9" w:rsidP="00F96FC9">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4E637CD7" w14:textId="77777777" w:rsidR="00F96FC9" w:rsidRPr="001D4B1E" w:rsidRDefault="00F96FC9" w:rsidP="00F96FC9">
      <w:pPr>
        <w:pStyle w:val="Odstavecseseznamem"/>
        <w:numPr>
          <w:ilvl w:val="0"/>
          <w:numId w:val="36"/>
        </w:numPr>
        <w:spacing w:before="0" w:after="120" w:line="252" w:lineRule="auto"/>
        <w:ind w:left="426" w:hanging="426"/>
        <w:rPr>
          <w:b/>
          <w:bCs/>
          <w:sz w:val="22"/>
          <w:szCs w:val="22"/>
          <w:lang w:eastAsia="en-US"/>
        </w:rPr>
      </w:pPr>
      <w:r w:rsidRPr="001D4B1E">
        <w:rPr>
          <w:b/>
          <w:bCs/>
          <w:sz w:val="22"/>
          <w:szCs w:val="22"/>
          <w:lang w:eastAsia="en-US"/>
        </w:rPr>
        <w:t>Zhotovitel se při poskytování plnění pro Objednatele zavazuje plnit následující povinnosti:</w:t>
      </w:r>
    </w:p>
    <w:p w14:paraId="59B91E05"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2DC17E75"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731D23C5"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FF23188"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4962F6B6"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749F88D1" w14:textId="77777777" w:rsidR="00F96FC9" w:rsidRPr="00654EA7" w:rsidRDefault="00F96FC9" w:rsidP="00F96FC9">
      <w:pPr>
        <w:numPr>
          <w:ilvl w:val="0"/>
          <w:numId w:val="29"/>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2750BEED" w14:textId="77777777" w:rsidR="00F96FC9" w:rsidRPr="009F6D94" w:rsidRDefault="00F96FC9" w:rsidP="00F96FC9">
      <w:pPr>
        <w:pStyle w:val="Odstavecseseznamem"/>
        <w:numPr>
          <w:ilvl w:val="0"/>
          <w:numId w:val="36"/>
        </w:numPr>
        <w:spacing w:before="0" w:after="120" w:line="252" w:lineRule="auto"/>
        <w:ind w:left="425" w:hanging="425"/>
        <w:contextualSpacing w:val="0"/>
        <w:rPr>
          <w:b/>
          <w:bCs/>
          <w:sz w:val="22"/>
          <w:szCs w:val="22"/>
          <w:lang w:eastAsia="en-US"/>
        </w:rPr>
      </w:pPr>
      <w:r w:rsidRPr="009F6D94">
        <w:rPr>
          <w:b/>
          <w:bCs/>
          <w:sz w:val="22"/>
          <w:szCs w:val="22"/>
          <w:lang w:eastAsia="en-US"/>
        </w:rPr>
        <w:t>Vlastnictví dat a oprávnění data užívat</w:t>
      </w:r>
    </w:p>
    <w:p w14:paraId="5FB94D75" w14:textId="77777777" w:rsidR="00F96FC9" w:rsidRPr="0025358A" w:rsidRDefault="00F96FC9" w:rsidP="00F96FC9">
      <w:pPr>
        <w:pStyle w:val="Odstavecseseznamem"/>
        <w:spacing w:before="0" w:after="120" w:line="252" w:lineRule="auto"/>
        <w:ind w:left="426"/>
        <w:rPr>
          <w:sz w:val="22"/>
          <w:szCs w:val="22"/>
          <w:lang w:eastAsia="en-US"/>
        </w:rPr>
      </w:pPr>
      <w:r w:rsidRPr="0025358A">
        <w:rPr>
          <w:sz w:val="22"/>
          <w:szCs w:val="22"/>
          <w:lang w:eastAsia="en-US"/>
        </w:rPr>
        <w:t>Veškerá data zpracovávaná v organizaci Objednatele jsou vlastnictvím Objednatele, který jediný má k těmto datům užívací právo a právo distribuce jiným subjektům.</w:t>
      </w:r>
    </w:p>
    <w:p w14:paraId="26AB5243" w14:textId="59834755" w:rsidR="00F96FC9" w:rsidRPr="00654EA7" w:rsidRDefault="00F96FC9" w:rsidP="006E0DF6">
      <w:pPr>
        <w:tabs>
          <w:tab w:val="left" w:pos="426"/>
        </w:tabs>
        <w:spacing w:after="120" w:line="252" w:lineRule="auto"/>
        <w:ind w:left="426"/>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157F9C59" w14:textId="77777777" w:rsidR="00F96FC9" w:rsidRPr="00654EA7" w:rsidRDefault="00F96FC9" w:rsidP="00F96FC9">
      <w:pPr>
        <w:spacing w:after="120" w:line="252" w:lineRule="auto"/>
        <w:ind w:left="360"/>
        <w:jc w:val="both"/>
        <w:rPr>
          <w:lang w:eastAsia="en-US"/>
        </w:rPr>
      </w:pPr>
      <w:r w:rsidRPr="00654EA7">
        <w:rPr>
          <w:lang w:eastAsia="en-US"/>
        </w:rPr>
        <w:lastRenderedPageBreak/>
        <w:t xml:space="preserve">Zhotovitel se při poskytování plnění pro Objednatele zavazuje nakládat s daty (včetně osobních údajů) pouze v souladu se Smlouvou a příslušnými právními předpisy.  </w:t>
      </w:r>
    </w:p>
    <w:p w14:paraId="5B9DCB29" w14:textId="77777777" w:rsidR="00F96FC9" w:rsidRPr="006E0DF6" w:rsidRDefault="00F96FC9" w:rsidP="00F96FC9">
      <w:pPr>
        <w:pStyle w:val="Odstavecseseznamem"/>
        <w:numPr>
          <w:ilvl w:val="0"/>
          <w:numId w:val="36"/>
        </w:numPr>
        <w:spacing w:before="0" w:after="120" w:line="252" w:lineRule="auto"/>
        <w:rPr>
          <w:b/>
          <w:bCs/>
          <w:sz w:val="22"/>
          <w:szCs w:val="22"/>
          <w:lang w:eastAsia="en-US"/>
        </w:rPr>
      </w:pPr>
      <w:r w:rsidRPr="006E0DF6">
        <w:rPr>
          <w:b/>
          <w:bCs/>
          <w:sz w:val="22"/>
          <w:szCs w:val="22"/>
          <w:lang w:eastAsia="en-US"/>
        </w:rPr>
        <w:t>Autorství</w:t>
      </w:r>
    </w:p>
    <w:p w14:paraId="4F87D303" w14:textId="77777777" w:rsidR="00F96FC9" w:rsidRDefault="00F96FC9" w:rsidP="00F96FC9">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8B7023E" w14:textId="77777777" w:rsidR="00F96FC9" w:rsidRPr="006E0DF6" w:rsidRDefault="00F96FC9" w:rsidP="00F96FC9">
      <w:pPr>
        <w:pStyle w:val="Odstavecseseznamem"/>
        <w:numPr>
          <w:ilvl w:val="0"/>
          <w:numId w:val="36"/>
        </w:numPr>
        <w:spacing w:before="0" w:after="120" w:line="252" w:lineRule="auto"/>
        <w:rPr>
          <w:b/>
          <w:bCs/>
          <w:sz w:val="22"/>
          <w:szCs w:val="22"/>
          <w:lang w:eastAsia="en-US"/>
        </w:rPr>
      </w:pPr>
      <w:r w:rsidRPr="006E0DF6">
        <w:rPr>
          <w:b/>
          <w:bCs/>
          <w:sz w:val="22"/>
          <w:szCs w:val="22"/>
          <w:lang w:eastAsia="en-US"/>
        </w:rPr>
        <w:t>Kontrola a audit souladu s požadavky bezpečnosti</w:t>
      </w:r>
    </w:p>
    <w:p w14:paraId="0FDDCA6F" w14:textId="77777777" w:rsidR="00F96FC9" w:rsidRDefault="00F96FC9" w:rsidP="00F96FC9">
      <w:pPr>
        <w:spacing w:after="120" w:line="252"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4AABC9DB" w14:textId="77777777" w:rsidR="00F96FC9" w:rsidRPr="006E0DF6" w:rsidRDefault="00F96FC9" w:rsidP="00F96FC9">
      <w:pPr>
        <w:pStyle w:val="Odstavecseseznamem"/>
        <w:numPr>
          <w:ilvl w:val="0"/>
          <w:numId w:val="36"/>
        </w:numPr>
        <w:spacing w:before="0" w:after="120" w:line="252" w:lineRule="auto"/>
        <w:rPr>
          <w:b/>
          <w:bCs/>
          <w:sz w:val="22"/>
          <w:szCs w:val="22"/>
          <w:lang w:eastAsia="en-US"/>
        </w:rPr>
      </w:pPr>
      <w:r w:rsidRPr="006E0DF6">
        <w:rPr>
          <w:b/>
          <w:bCs/>
          <w:sz w:val="22"/>
          <w:szCs w:val="22"/>
          <w:lang w:eastAsia="en-US"/>
        </w:rPr>
        <w:t>Řetězení a řízení dodavatelů</w:t>
      </w:r>
    </w:p>
    <w:p w14:paraId="3B6BC5FA" w14:textId="77777777" w:rsidR="00F96FC9" w:rsidRPr="00B01F17" w:rsidRDefault="00F96FC9" w:rsidP="00F96FC9">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3096E57B" w14:textId="77777777" w:rsidR="00F96FC9" w:rsidRPr="00654EA7" w:rsidRDefault="00F96FC9" w:rsidP="00F96FC9">
      <w:pPr>
        <w:numPr>
          <w:ilvl w:val="0"/>
          <w:numId w:val="30"/>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27EE7B79" w14:textId="77777777" w:rsidR="00F96FC9" w:rsidRPr="00654EA7" w:rsidRDefault="00F96FC9" w:rsidP="00F96FC9">
      <w:pPr>
        <w:numPr>
          <w:ilvl w:val="0"/>
          <w:numId w:val="30"/>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30397FE" w14:textId="77777777" w:rsidR="00F96FC9" w:rsidRPr="00654EA7" w:rsidRDefault="00F96FC9" w:rsidP="00F96FC9">
      <w:pPr>
        <w:numPr>
          <w:ilvl w:val="0"/>
          <w:numId w:val="30"/>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3BEAA63E" w14:textId="77777777" w:rsidR="00F96FC9" w:rsidRPr="00654EA7" w:rsidRDefault="00F96FC9" w:rsidP="00F96FC9">
      <w:pPr>
        <w:numPr>
          <w:ilvl w:val="0"/>
          <w:numId w:val="30"/>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33F8707E" w14:textId="77777777" w:rsidR="00F96FC9" w:rsidRPr="00531B35" w:rsidRDefault="00F96FC9" w:rsidP="00F96FC9">
      <w:pPr>
        <w:pStyle w:val="Odstavecseseznamem"/>
        <w:numPr>
          <w:ilvl w:val="0"/>
          <w:numId w:val="36"/>
        </w:numPr>
        <w:spacing w:before="0" w:after="120" w:line="252" w:lineRule="auto"/>
        <w:rPr>
          <w:b/>
          <w:bCs/>
          <w:sz w:val="22"/>
          <w:szCs w:val="22"/>
          <w:lang w:eastAsia="en-US"/>
        </w:rPr>
      </w:pPr>
      <w:r w:rsidRPr="00531B35">
        <w:rPr>
          <w:b/>
          <w:bCs/>
          <w:sz w:val="22"/>
          <w:szCs w:val="22"/>
          <w:lang w:eastAsia="en-US"/>
        </w:rPr>
        <w:t>Řízení změn</w:t>
      </w:r>
    </w:p>
    <w:p w14:paraId="1655D8AD" w14:textId="573DA949" w:rsidR="00F96FC9" w:rsidRPr="00654EA7" w:rsidRDefault="00F96FC9" w:rsidP="00883A2D">
      <w:pPr>
        <w:tabs>
          <w:tab w:val="left" w:pos="426"/>
        </w:tabs>
        <w:spacing w:after="120" w:line="252" w:lineRule="auto"/>
        <w:ind w:left="426"/>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7666164C" w14:textId="77777777" w:rsidR="00F96FC9" w:rsidRPr="00883A2D" w:rsidRDefault="00F96FC9" w:rsidP="00F96FC9">
      <w:pPr>
        <w:pStyle w:val="Odstavecseseznamem"/>
        <w:numPr>
          <w:ilvl w:val="0"/>
          <w:numId w:val="36"/>
        </w:numPr>
        <w:spacing w:before="0" w:after="120" w:line="252" w:lineRule="auto"/>
        <w:rPr>
          <w:b/>
          <w:bCs/>
          <w:sz w:val="22"/>
          <w:szCs w:val="22"/>
          <w:lang w:eastAsia="en-US"/>
        </w:rPr>
      </w:pPr>
      <w:r w:rsidRPr="00883A2D">
        <w:rPr>
          <w:b/>
          <w:bCs/>
          <w:sz w:val="22"/>
          <w:szCs w:val="22"/>
          <w:lang w:eastAsia="en-US"/>
        </w:rPr>
        <w:t>Zvládání bezpečnostních incidentů</w:t>
      </w:r>
    </w:p>
    <w:p w14:paraId="45725D51" w14:textId="77777777" w:rsidR="00F96FC9" w:rsidRPr="00694EA3" w:rsidRDefault="00F96FC9" w:rsidP="00F96FC9">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F72C211" w14:textId="77777777" w:rsidR="00F96FC9" w:rsidRPr="00654EA7" w:rsidRDefault="00F96FC9" w:rsidP="00F96FC9">
      <w:pPr>
        <w:numPr>
          <w:ilvl w:val="0"/>
          <w:numId w:val="37"/>
        </w:numPr>
        <w:spacing w:after="120" w:line="252" w:lineRule="auto"/>
        <w:jc w:val="both"/>
        <w:rPr>
          <w:lang w:eastAsia="en-US"/>
        </w:rPr>
      </w:pPr>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p>
    <w:p w14:paraId="008BF79F" w14:textId="77777777" w:rsidR="00F96FC9" w:rsidRPr="00654EA7" w:rsidRDefault="00F96FC9" w:rsidP="00F96FC9">
      <w:pPr>
        <w:numPr>
          <w:ilvl w:val="0"/>
          <w:numId w:val="37"/>
        </w:numPr>
        <w:spacing w:after="120" w:line="252" w:lineRule="auto"/>
        <w:jc w:val="both"/>
        <w:rPr>
          <w:lang w:eastAsia="en-US"/>
        </w:rPr>
      </w:pPr>
      <w:r w:rsidRPr="00654EA7">
        <w:rPr>
          <w:lang w:eastAsia="en-US"/>
        </w:rPr>
        <w:lastRenderedPageBreak/>
        <w:t>dostatečně zabezpečit veškerý přenos dat a informací z pohledu bezpečnostních požadavků na jejich důvěrnost, integritu a dostupnost.</w:t>
      </w:r>
    </w:p>
    <w:p w14:paraId="14A74264" w14:textId="77777777" w:rsidR="00F96FC9" w:rsidRPr="0041758E" w:rsidRDefault="00F96FC9" w:rsidP="00F96FC9">
      <w:pPr>
        <w:pStyle w:val="Odstavecseseznamem"/>
        <w:numPr>
          <w:ilvl w:val="0"/>
          <w:numId w:val="36"/>
        </w:numPr>
        <w:spacing w:before="0" w:after="120" w:line="252" w:lineRule="auto"/>
        <w:rPr>
          <w:b/>
          <w:bCs/>
          <w:sz w:val="22"/>
          <w:szCs w:val="22"/>
          <w:lang w:eastAsia="en-US"/>
        </w:rPr>
      </w:pPr>
      <w:r w:rsidRPr="0041758E">
        <w:rPr>
          <w:b/>
          <w:bCs/>
          <w:sz w:val="22"/>
          <w:szCs w:val="22"/>
          <w:lang w:eastAsia="en-US"/>
        </w:rPr>
        <w:t xml:space="preserve">Informační povinnost a povinnosti při výměně informací </w:t>
      </w:r>
    </w:p>
    <w:p w14:paraId="6FAAAF92" w14:textId="77777777" w:rsidR="00F96FC9" w:rsidRPr="00694EA3" w:rsidRDefault="00F96FC9" w:rsidP="00F96FC9">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021E770E" w14:textId="77777777" w:rsidR="00F96FC9" w:rsidRPr="00654EA7" w:rsidRDefault="00F96FC9" w:rsidP="00F96FC9">
      <w:pPr>
        <w:numPr>
          <w:ilvl w:val="0"/>
          <w:numId w:val="27"/>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65CA0B75" w14:textId="77777777" w:rsidR="00F96FC9" w:rsidRPr="00654EA7" w:rsidRDefault="00F96FC9" w:rsidP="00F96FC9">
      <w:pPr>
        <w:numPr>
          <w:ilvl w:val="0"/>
          <w:numId w:val="27"/>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13266A44" w14:textId="77777777" w:rsidR="00F96FC9" w:rsidRPr="0041758E" w:rsidRDefault="00F96FC9" w:rsidP="00F96FC9">
      <w:pPr>
        <w:pStyle w:val="Odstavecseseznamem"/>
        <w:numPr>
          <w:ilvl w:val="0"/>
          <w:numId w:val="36"/>
        </w:numPr>
        <w:spacing w:before="0" w:after="120" w:line="252" w:lineRule="auto"/>
        <w:rPr>
          <w:b/>
          <w:bCs/>
          <w:sz w:val="22"/>
          <w:szCs w:val="22"/>
          <w:lang w:eastAsia="en-US"/>
        </w:rPr>
      </w:pPr>
      <w:r w:rsidRPr="0041758E">
        <w:rPr>
          <w:b/>
          <w:bCs/>
          <w:sz w:val="22"/>
          <w:szCs w:val="22"/>
          <w:lang w:eastAsia="en-US"/>
        </w:rPr>
        <w:t>Povinnosti při ukončení Smlouvy</w:t>
      </w:r>
    </w:p>
    <w:p w14:paraId="43C76641" w14:textId="77777777" w:rsidR="00F96FC9" w:rsidRPr="00654EA7" w:rsidRDefault="00F96FC9" w:rsidP="00F96FC9">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3AAA441" w14:textId="77777777" w:rsidR="00F96FC9" w:rsidRPr="00654EA7" w:rsidRDefault="00F96FC9" w:rsidP="00F96FC9">
      <w:pPr>
        <w:numPr>
          <w:ilvl w:val="0"/>
          <w:numId w:val="38"/>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546C26E1" w14:textId="77777777" w:rsidR="00F96FC9" w:rsidRPr="00654EA7" w:rsidRDefault="00F96FC9" w:rsidP="00F96FC9">
      <w:pPr>
        <w:numPr>
          <w:ilvl w:val="0"/>
          <w:numId w:val="38"/>
        </w:numPr>
        <w:spacing w:after="120" w:line="252" w:lineRule="auto"/>
        <w:jc w:val="both"/>
        <w:rPr>
          <w:lang w:eastAsia="en-US"/>
        </w:rPr>
      </w:pPr>
      <w:r w:rsidRPr="00654EA7">
        <w:rPr>
          <w:lang w:eastAsia="en-US"/>
        </w:rPr>
        <w:t>vrácení důvěrné dokumentace (pokud byla předána),</w:t>
      </w:r>
    </w:p>
    <w:p w14:paraId="3B148413" w14:textId="1D1BAB50" w:rsidR="0041758E" w:rsidRDefault="00F96FC9" w:rsidP="0041758E">
      <w:pPr>
        <w:numPr>
          <w:ilvl w:val="0"/>
          <w:numId w:val="38"/>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r w:rsidR="0041758E">
        <w:rPr>
          <w:lang w:eastAsia="en-US"/>
        </w:rPr>
        <w:t>,</w:t>
      </w:r>
    </w:p>
    <w:p w14:paraId="639C139F" w14:textId="31E1B61F" w:rsidR="00F96FC9" w:rsidRPr="00654EA7" w:rsidRDefault="00F96FC9" w:rsidP="0041758E">
      <w:pPr>
        <w:numPr>
          <w:ilvl w:val="0"/>
          <w:numId w:val="38"/>
        </w:numPr>
        <w:spacing w:after="120" w:line="252" w:lineRule="auto"/>
        <w:jc w:val="both"/>
        <w:rPr>
          <w:lang w:eastAsia="en-US"/>
        </w:rPr>
      </w:pPr>
      <w:r w:rsidRPr="00654EA7">
        <w:rPr>
          <w:lang w:eastAsia="en-US"/>
        </w:rPr>
        <w:t>předat informace pro umožnění provedení migrace dat zpracovávaných na prostředcích dodaných či zajišťovaných dle smlouvy na jiné systémy.</w:t>
      </w:r>
    </w:p>
    <w:p w14:paraId="75A9987E"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Specifikace podmínek pro řízení kontinuity činností a zálohování a obnovu dat</w:t>
      </w:r>
    </w:p>
    <w:p w14:paraId="064C22E5" w14:textId="77777777" w:rsidR="00F96FC9" w:rsidRPr="00654EA7" w:rsidRDefault="00F96FC9" w:rsidP="00F96FC9">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6B9D41FF" w14:textId="41B4B3EB" w:rsidR="00F96FC9" w:rsidRDefault="00F96FC9" w:rsidP="00540D6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0AF9D39E"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Bezpečnost lidských zdrojů</w:t>
      </w:r>
    </w:p>
    <w:p w14:paraId="2D38112B" w14:textId="77777777" w:rsidR="00F96FC9" w:rsidRPr="00654EA7" w:rsidRDefault="00F96FC9" w:rsidP="00F96FC9">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5AF75E02"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Požadavky na systémovou a provozní bezpečnostní dokumentaci</w:t>
      </w:r>
    </w:p>
    <w:p w14:paraId="5EDE6631" w14:textId="77777777" w:rsidR="00F96FC9" w:rsidRPr="00654EA7" w:rsidRDefault="00F96FC9" w:rsidP="00F96FC9">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15033C1F"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Fyzická ochrana a bezpečnost prostředí</w:t>
      </w:r>
    </w:p>
    <w:p w14:paraId="38262E54" w14:textId="77777777" w:rsidR="00F96FC9" w:rsidRPr="00654EA7" w:rsidRDefault="00F96FC9" w:rsidP="00F96FC9">
      <w:pPr>
        <w:numPr>
          <w:ilvl w:val="0"/>
          <w:numId w:val="26"/>
        </w:numPr>
        <w:spacing w:after="120" w:line="252" w:lineRule="auto"/>
        <w:ind w:left="1068"/>
        <w:jc w:val="both"/>
        <w:rPr>
          <w:lang w:eastAsia="en-US"/>
        </w:rPr>
      </w:pPr>
      <w:r w:rsidRPr="00654EA7">
        <w:rPr>
          <w:lang w:eastAsia="en-US"/>
        </w:rPr>
        <w:lastRenderedPageBreak/>
        <w:t>Zhotovitel se zavazuje dodržovat režimová bezpečnostní opatření využívaných prostor, zejména pak v oblasti fyzické ochrany, kde jsou umístěny komponenty technologických a komunikačních systémů, anebo datové nosiče;</w:t>
      </w:r>
    </w:p>
    <w:p w14:paraId="2BCC27C8" w14:textId="77777777" w:rsidR="00F96FC9" w:rsidRPr="00654EA7" w:rsidRDefault="00F96FC9" w:rsidP="00F96FC9">
      <w:pPr>
        <w:numPr>
          <w:ilvl w:val="0"/>
          <w:numId w:val="26"/>
        </w:numPr>
        <w:spacing w:after="120" w:line="252" w:lineRule="auto"/>
        <w:ind w:left="1068"/>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521EE046"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Požadavky na Řízení přístupu</w:t>
      </w:r>
    </w:p>
    <w:p w14:paraId="058EB540"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4ECC073B"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Zhotovitel bere na vědomí, že přidělení oprávnění zaměstnanci Zhotovitele musí být řízeno zásadou tzv. „potřeba vědět (need-to-know principle) a není nárokové;</w:t>
      </w:r>
    </w:p>
    <w:p w14:paraId="043E3801"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Zhotovitel se zavazuje, že udělený přístup nesmí být sdílen více zaměstnanci Zhotovitele nebo poddodavatele Zhotovitele;</w:t>
      </w:r>
    </w:p>
    <w:p w14:paraId="61F74279"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65BDFA11"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1DB091F9" w14:textId="6632D67C" w:rsidR="00F96FC9" w:rsidRPr="00654EA7" w:rsidRDefault="00F96FC9" w:rsidP="00540D63">
      <w:pPr>
        <w:numPr>
          <w:ilvl w:val="0"/>
          <w:numId w:val="32"/>
        </w:numPr>
        <w:spacing w:after="120" w:line="252" w:lineRule="auto"/>
        <w:ind w:left="1068"/>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9DCCBC2" w14:textId="77777777" w:rsidR="00F96FC9" w:rsidRPr="00654EA7" w:rsidRDefault="00F96FC9" w:rsidP="00F96FC9">
      <w:pPr>
        <w:numPr>
          <w:ilvl w:val="0"/>
          <w:numId w:val="32"/>
        </w:numPr>
        <w:spacing w:after="120" w:line="252" w:lineRule="auto"/>
        <w:ind w:left="1068"/>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4681A433"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Monitorování činností</w:t>
      </w:r>
    </w:p>
    <w:p w14:paraId="76850061" w14:textId="77777777" w:rsidR="00F96FC9" w:rsidRPr="00654EA7" w:rsidRDefault="00F96FC9" w:rsidP="00F96FC9">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76C90DB"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Předání a převzetí plnění</w:t>
      </w:r>
    </w:p>
    <w:p w14:paraId="4AFE1912" w14:textId="77777777" w:rsidR="00F96FC9" w:rsidRPr="00654EA7" w:rsidRDefault="00F96FC9" w:rsidP="00540D63">
      <w:pPr>
        <w:spacing w:after="120" w:line="252" w:lineRule="auto"/>
        <w:ind w:left="426"/>
        <w:jc w:val="both"/>
        <w:rPr>
          <w:lang w:eastAsia="en-US"/>
        </w:rPr>
      </w:pPr>
      <w:r w:rsidRPr="00654EA7">
        <w:rPr>
          <w:lang w:eastAsia="en-US"/>
        </w:rPr>
        <w:lastRenderedPageBreak/>
        <w:t>Zhotovitel se zavazuje dodržovat bezpečnostní požadavky i při předání a převzetí plnění dle této Smlouvy.</w:t>
      </w:r>
    </w:p>
    <w:p w14:paraId="11149684" w14:textId="77777777" w:rsidR="00F96FC9" w:rsidRPr="00654EA7" w:rsidRDefault="00F96FC9" w:rsidP="00540D63">
      <w:pPr>
        <w:spacing w:after="120" w:line="252" w:lineRule="auto"/>
        <w:ind w:left="426"/>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5DDF0AA9" w14:textId="77777777" w:rsidR="00F96FC9" w:rsidRPr="00540D63" w:rsidRDefault="00F96FC9" w:rsidP="00F96FC9">
      <w:pPr>
        <w:pStyle w:val="Odstavecseseznamem"/>
        <w:numPr>
          <w:ilvl w:val="0"/>
          <w:numId w:val="36"/>
        </w:numPr>
        <w:spacing w:before="0" w:after="120" w:line="252" w:lineRule="auto"/>
        <w:rPr>
          <w:b/>
          <w:bCs/>
          <w:sz w:val="22"/>
          <w:szCs w:val="22"/>
          <w:lang w:eastAsia="en-US"/>
        </w:rPr>
      </w:pPr>
      <w:r w:rsidRPr="00540D63">
        <w:rPr>
          <w:b/>
          <w:bCs/>
          <w:sz w:val="22"/>
          <w:szCs w:val="22"/>
          <w:lang w:eastAsia="en-US"/>
        </w:rPr>
        <w:t>Likvidace dat</w:t>
      </w:r>
    </w:p>
    <w:p w14:paraId="3F737487" w14:textId="50A8E4E3" w:rsidR="00F96FC9" w:rsidRDefault="00F96FC9" w:rsidP="00540D63">
      <w:pPr>
        <w:tabs>
          <w:tab w:val="left" w:pos="426"/>
        </w:tabs>
        <w:ind w:left="426"/>
        <w:jc w:val="both"/>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43BDAC2C" w14:textId="77777777" w:rsidR="00F96FC9" w:rsidRDefault="00F96FC9" w:rsidP="00F96FC9"/>
    <w:p w14:paraId="1948D941" w14:textId="77777777" w:rsidR="00F96FC9" w:rsidRDefault="00F96FC9" w:rsidP="00F96FC9"/>
    <w:p w14:paraId="3437A6B9" w14:textId="3C4820E8" w:rsidR="002377E2" w:rsidRPr="002377E2" w:rsidRDefault="002377E2" w:rsidP="002377E2">
      <w:pPr>
        <w:spacing w:after="120" w:line="252" w:lineRule="auto"/>
        <w:rPr>
          <w:b/>
          <w:bCs/>
          <w:lang w:eastAsia="en-US"/>
        </w:rPr>
      </w:pPr>
    </w:p>
    <w:p w14:paraId="11DC19F7" w14:textId="77777777" w:rsidR="002377E2" w:rsidRDefault="002377E2" w:rsidP="002377E2">
      <w:pPr>
        <w:rPr>
          <w:lang w:eastAsia="en-US"/>
        </w:rPr>
      </w:pPr>
    </w:p>
    <w:p w14:paraId="1F07EDC2" w14:textId="77777777" w:rsidR="002377E2" w:rsidRPr="00654EA7" w:rsidRDefault="002377E2" w:rsidP="00540D63">
      <w:pPr>
        <w:spacing w:after="120" w:line="252" w:lineRule="auto"/>
        <w:ind w:left="1068"/>
        <w:jc w:val="both"/>
        <w:rPr>
          <w:lang w:eastAsia="en-US"/>
        </w:rPr>
      </w:pPr>
    </w:p>
    <w:p w14:paraId="01290F97" w14:textId="77777777" w:rsidR="002377E2" w:rsidRPr="00654EA7" w:rsidRDefault="002377E2" w:rsidP="002377E2">
      <w:pPr>
        <w:pStyle w:val="Odstavecseseznamem"/>
        <w:spacing w:before="0" w:after="120" w:line="252" w:lineRule="auto"/>
        <w:ind w:left="360"/>
        <w:rPr>
          <w:b/>
          <w:bCs/>
          <w:lang w:eastAsia="en-US"/>
        </w:rPr>
      </w:pPr>
    </w:p>
    <w:p w14:paraId="4937D584" w14:textId="77777777" w:rsidR="00502CC9" w:rsidRDefault="00502CC9" w:rsidP="002377E2">
      <w:pPr>
        <w:rPr>
          <w:b/>
          <w:bCs/>
          <w:sz w:val="28"/>
          <w:szCs w:val="28"/>
        </w:rPr>
      </w:pPr>
    </w:p>
    <w:p w14:paraId="70DFF670" w14:textId="77777777" w:rsidR="00502CC9" w:rsidRDefault="00502CC9" w:rsidP="002377E2">
      <w:pPr>
        <w:rPr>
          <w:b/>
          <w:bCs/>
          <w:sz w:val="28"/>
          <w:szCs w:val="28"/>
        </w:rPr>
      </w:pPr>
    </w:p>
    <w:p w14:paraId="60D6A537" w14:textId="77777777" w:rsidR="00502CC9" w:rsidRDefault="00502CC9" w:rsidP="002377E2">
      <w:pPr>
        <w:rPr>
          <w:b/>
          <w:bCs/>
          <w:sz w:val="28"/>
          <w:szCs w:val="28"/>
        </w:rPr>
      </w:pPr>
    </w:p>
    <w:p w14:paraId="304FFE2D" w14:textId="77777777" w:rsidR="00502CC9" w:rsidRDefault="00502CC9" w:rsidP="002377E2">
      <w:pPr>
        <w:rPr>
          <w:b/>
          <w:bCs/>
          <w:sz w:val="28"/>
          <w:szCs w:val="28"/>
        </w:rPr>
      </w:pPr>
    </w:p>
    <w:p w14:paraId="568466B9" w14:textId="77777777" w:rsidR="00502CC9" w:rsidRDefault="00502CC9" w:rsidP="002377E2">
      <w:pPr>
        <w:rPr>
          <w:b/>
          <w:bCs/>
          <w:sz w:val="28"/>
          <w:szCs w:val="28"/>
        </w:rPr>
      </w:pPr>
    </w:p>
    <w:p w14:paraId="78833F79" w14:textId="77777777" w:rsidR="00540D63" w:rsidRDefault="00540D63" w:rsidP="002377E2">
      <w:pPr>
        <w:rPr>
          <w:b/>
          <w:bCs/>
          <w:sz w:val="28"/>
          <w:szCs w:val="28"/>
        </w:rPr>
      </w:pPr>
    </w:p>
    <w:p w14:paraId="199C0C0B" w14:textId="77777777" w:rsidR="00540D63" w:rsidRDefault="00540D63" w:rsidP="002377E2">
      <w:pPr>
        <w:rPr>
          <w:b/>
          <w:bCs/>
          <w:sz w:val="28"/>
          <w:szCs w:val="28"/>
        </w:rPr>
      </w:pPr>
    </w:p>
    <w:p w14:paraId="53E72066" w14:textId="77777777" w:rsidR="00540D63" w:rsidRDefault="00540D63" w:rsidP="002377E2">
      <w:pPr>
        <w:rPr>
          <w:b/>
          <w:bCs/>
          <w:sz w:val="28"/>
          <w:szCs w:val="28"/>
        </w:rPr>
      </w:pPr>
    </w:p>
    <w:p w14:paraId="032FCC84" w14:textId="77777777" w:rsidR="00540D63" w:rsidRDefault="00540D63" w:rsidP="002377E2">
      <w:pPr>
        <w:rPr>
          <w:b/>
          <w:bCs/>
          <w:sz w:val="28"/>
          <w:szCs w:val="28"/>
        </w:rPr>
      </w:pPr>
    </w:p>
    <w:p w14:paraId="463B098A" w14:textId="77777777" w:rsidR="00540D63" w:rsidRDefault="00540D63" w:rsidP="002377E2">
      <w:pPr>
        <w:rPr>
          <w:b/>
          <w:bCs/>
          <w:sz w:val="28"/>
          <w:szCs w:val="28"/>
        </w:rPr>
      </w:pPr>
    </w:p>
    <w:p w14:paraId="635D67A0" w14:textId="77777777" w:rsidR="00540D63" w:rsidRDefault="00540D63" w:rsidP="002377E2">
      <w:pPr>
        <w:rPr>
          <w:b/>
          <w:bCs/>
          <w:sz w:val="28"/>
          <w:szCs w:val="28"/>
        </w:rPr>
      </w:pPr>
    </w:p>
    <w:p w14:paraId="42FA47BF" w14:textId="77777777" w:rsidR="00540D63" w:rsidRDefault="00540D63" w:rsidP="002377E2">
      <w:pPr>
        <w:rPr>
          <w:b/>
          <w:bCs/>
          <w:sz w:val="28"/>
          <w:szCs w:val="28"/>
        </w:rPr>
      </w:pPr>
    </w:p>
    <w:p w14:paraId="75150D3E" w14:textId="77777777" w:rsidR="00540D63" w:rsidRDefault="00540D63" w:rsidP="002377E2">
      <w:pPr>
        <w:rPr>
          <w:b/>
          <w:bCs/>
          <w:sz w:val="28"/>
          <w:szCs w:val="28"/>
        </w:rPr>
      </w:pPr>
    </w:p>
    <w:p w14:paraId="4941541B" w14:textId="77777777" w:rsidR="00502CC9" w:rsidRDefault="00502CC9" w:rsidP="002377E2">
      <w:pPr>
        <w:rPr>
          <w:b/>
          <w:bCs/>
          <w:sz w:val="28"/>
          <w:szCs w:val="28"/>
        </w:rPr>
      </w:pPr>
    </w:p>
    <w:p w14:paraId="679A1911" w14:textId="76F8BF6B" w:rsidR="002377E2" w:rsidRPr="00FB2E2F" w:rsidRDefault="002377E2" w:rsidP="002377E2">
      <w:pPr>
        <w:rPr>
          <w:b/>
          <w:bCs/>
          <w:sz w:val="28"/>
          <w:szCs w:val="28"/>
        </w:rPr>
      </w:pPr>
      <w:r w:rsidRPr="00FB2E2F">
        <w:rPr>
          <w:b/>
          <w:bCs/>
          <w:sz w:val="28"/>
          <w:szCs w:val="28"/>
        </w:rPr>
        <w:t>Příloha č. 7</w:t>
      </w:r>
    </w:p>
    <w:p w14:paraId="1DC08C7A" w14:textId="77777777" w:rsidR="002377E2" w:rsidRPr="00FB2E2F" w:rsidRDefault="002377E2" w:rsidP="002377E2">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p w14:paraId="7ED9DBFD" w14:textId="77777777" w:rsidR="002377E2" w:rsidRPr="00540D63" w:rsidRDefault="002377E2" w:rsidP="002377E2">
      <w:pPr>
        <w:pStyle w:val="Odstavecseseznamem"/>
        <w:numPr>
          <w:ilvl w:val="0"/>
          <w:numId w:val="24"/>
        </w:numPr>
        <w:ind w:left="426" w:hanging="426"/>
        <w:rPr>
          <w:rFonts w:cs="Arial"/>
          <w:bCs/>
          <w:sz w:val="22"/>
          <w:szCs w:val="22"/>
        </w:rPr>
      </w:pPr>
      <w:r w:rsidRPr="00540D63">
        <w:rPr>
          <w:rFonts w:cs="Arial"/>
          <w:bCs/>
          <w:sz w:val="22"/>
          <w:szCs w:val="22"/>
        </w:rPr>
        <w:t xml:space="preserve">Pro vše ostatní nesjednané touto smlouvou platí níže uvedené Všeobecné obchodní podmínky Prodávajícího. </w:t>
      </w:r>
    </w:p>
    <w:p w14:paraId="06D9778B" w14:textId="77777777" w:rsidR="002377E2" w:rsidRPr="00540D63" w:rsidRDefault="002377E2" w:rsidP="002377E2">
      <w:pPr>
        <w:pStyle w:val="Odstavecseseznamem"/>
        <w:numPr>
          <w:ilvl w:val="0"/>
          <w:numId w:val="24"/>
        </w:numPr>
        <w:ind w:left="426" w:hanging="426"/>
        <w:rPr>
          <w:rFonts w:cs="Arial"/>
          <w:bCs/>
          <w:sz w:val="22"/>
          <w:szCs w:val="22"/>
        </w:rPr>
      </w:pPr>
      <w:r w:rsidRPr="00540D63">
        <w:rPr>
          <w:rFonts w:cs="Arial"/>
          <w:bCs/>
          <w:sz w:val="22"/>
          <w:szCs w:val="22"/>
        </w:rPr>
        <w:t>Ujednání stanovená touto Smlouvou mají před ustanoveními, které jsou uvedeny ve Všeobecných obchodních podmínkách Prodávajícího, přednost.</w:t>
      </w:r>
    </w:p>
    <w:p w14:paraId="5FCBC212" w14:textId="77777777" w:rsidR="002377E2" w:rsidRPr="008A2743" w:rsidRDefault="002377E2" w:rsidP="002377E2">
      <w:pPr>
        <w:pStyle w:val="Odstavecseseznamem"/>
        <w:ind w:left="360"/>
        <w:rPr>
          <w:rFonts w:cs="Arial"/>
          <w:bCs/>
        </w:rPr>
      </w:pPr>
    </w:p>
    <w:p w14:paraId="26E11DAF" w14:textId="77777777" w:rsidR="002377E2" w:rsidRDefault="002377E2" w:rsidP="002377E2">
      <w:pPr>
        <w:rPr>
          <w:b/>
          <w:color w:val="767171" w:themeColor="background2" w:themeShade="80"/>
          <w:highlight w:val="yellow"/>
        </w:rPr>
      </w:pPr>
      <w:r>
        <w:rPr>
          <w:b/>
          <w:color w:val="767171" w:themeColor="background2" w:themeShade="80"/>
          <w:highlight w:val="yellow"/>
        </w:rPr>
        <w:t>Všeobecné obchodní podmínky Prodávajícího</w:t>
      </w:r>
    </w:p>
    <w:p w14:paraId="443B0662" w14:textId="77777777" w:rsidR="002377E2" w:rsidRDefault="002377E2" w:rsidP="002377E2">
      <w:pPr>
        <w:ind w:left="708"/>
        <w:rPr>
          <w:b/>
          <w:color w:val="767171" w:themeColor="background2" w:themeShade="80"/>
          <w:highlight w:val="yellow"/>
        </w:rPr>
      </w:pPr>
      <w:r>
        <w:rPr>
          <w:b/>
          <w:color w:val="767171" w:themeColor="background2" w:themeShade="80"/>
          <w:highlight w:val="yellow"/>
        </w:rPr>
        <w:t xml:space="preserve">Prodávající </w:t>
      </w:r>
      <w:r w:rsidRPr="00E914D3">
        <w:rPr>
          <w:b/>
          <w:color w:val="767171" w:themeColor="background2" w:themeShade="80"/>
          <w:highlight w:val="yellow"/>
        </w:rPr>
        <w:t>sem vloží své Všeobecné obchodní podmínky</w:t>
      </w:r>
      <w:r>
        <w:rPr>
          <w:b/>
          <w:color w:val="767171" w:themeColor="background2" w:themeShade="80"/>
          <w:highlight w:val="yellow"/>
        </w:rPr>
        <w:t xml:space="preserve">, vč. ujednání, že ustanovení definovaná v rámci smlouvy mají před ustanoveními v rámci </w:t>
      </w:r>
      <w:r w:rsidRPr="00E914D3">
        <w:rPr>
          <w:b/>
          <w:color w:val="767171" w:themeColor="background2" w:themeShade="80"/>
          <w:highlight w:val="yellow"/>
        </w:rPr>
        <w:t>Všeobecn</w:t>
      </w:r>
      <w:r>
        <w:rPr>
          <w:b/>
          <w:color w:val="767171" w:themeColor="background2" w:themeShade="80"/>
          <w:highlight w:val="yellow"/>
        </w:rPr>
        <w:t>ých</w:t>
      </w:r>
      <w:r w:rsidRPr="00E914D3">
        <w:rPr>
          <w:b/>
          <w:color w:val="767171" w:themeColor="background2" w:themeShade="80"/>
          <w:highlight w:val="yellow"/>
        </w:rPr>
        <w:t xml:space="preserve"> obchodní</w:t>
      </w:r>
      <w:r>
        <w:rPr>
          <w:b/>
          <w:color w:val="767171" w:themeColor="background2" w:themeShade="80"/>
          <w:highlight w:val="yellow"/>
        </w:rPr>
        <w:t>ch</w:t>
      </w:r>
      <w:r w:rsidRPr="00E914D3">
        <w:rPr>
          <w:b/>
          <w:color w:val="767171" w:themeColor="background2" w:themeShade="80"/>
          <w:highlight w:val="yellow"/>
        </w:rPr>
        <w:t xml:space="preserve"> podmín</w:t>
      </w:r>
      <w:r>
        <w:rPr>
          <w:b/>
          <w:color w:val="767171" w:themeColor="background2" w:themeShade="80"/>
          <w:highlight w:val="yellow"/>
        </w:rPr>
        <w:t>ek přednost (příklad viz. výše).</w:t>
      </w:r>
    </w:p>
    <w:p w14:paraId="47FD398D" w14:textId="286489CB" w:rsidR="002377E2" w:rsidRDefault="00540D63" w:rsidP="00540D63">
      <w:pPr>
        <w:tabs>
          <w:tab w:val="left" w:pos="709"/>
        </w:tabs>
        <w:rPr>
          <w:b/>
          <w:color w:val="767171" w:themeColor="background2" w:themeShade="80"/>
        </w:rPr>
      </w:pPr>
      <w:r w:rsidRPr="00540D63">
        <w:rPr>
          <w:b/>
          <w:color w:val="767171" w:themeColor="background2" w:themeShade="80"/>
        </w:rPr>
        <w:tab/>
      </w:r>
      <w:r w:rsidR="002377E2" w:rsidRPr="00E914D3">
        <w:rPr>
          <w:b/>
          <w:color w:val="767171" w:themeColor="background2" w:themeShade="80"/>
          <w:highlight w:val="yellow"/>
        </w:rPr>
        <w:t>Pokud nejsou, lze tuto Přílohu vyne</w:t>
      </w:r>
      <w:r w:rsidR="002377E2" w:rsidRPr="00540D63">
        <w:rPr>
          <w:b/>
          <w:color w:val="767171" w:themeColor="background2" w:themeShade="80"/>
          <w:highlight w:val="yellow"/>
        </w:rPr>
        <w:t>c</w:t>
      </w:r>
      <w:bookmarkEnd w:id="37"/>
      <w:r w:rsidRPr="00540D63">
        <w:rPr>
          <w:b/>
          <w:color w:val="767171" w:themeColor="background2" w:themeShade="80"/>
          <w:highlight w:val="yellow"/>
        </w:rPr>
        <w:t>hat</w:t>
      </w:r>
    </w:p>
    <w:sectPr w:rsidR="002377E2" w:rsidSect="00C629A2">
      <w:headerReference w:type="default" r:id="rId13"/>
      <w:footerReference w:type="default" r:id="rId14"/>
      <w:pgSz w:w="11906" w:h="16838"/>
      <w:pgMar w:top="2835" w:right="1134" w:bottom="1985"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C7221" w14:textId="77777777" w:rsidR="00090E38" w:rsidRDefault="00090E38" w:rsidP="00401355">
      <w:pPr>
        <w:spacing w:after="0" w:line="240" w:lineRule="auto"/>
      </w:pPr>
      <w:r>
        <w:separator/>
      </w:r>
    </w:p>
  </w:endnote>
  <w:endnote w:type="continuationSeparator" w:id="0">
    <w:p w14:paraId="43141AFE" w14:textId="77777777" w:rsidR="00090E38" w:rsidRDefault="00090E38" w:rsidP="00401355">
      <w:pPr>
        <w:spacing w:after="0" w:line="240" w:lineRule="auto"/>
      </w:pPr>
      <w:r>
        <w:continuationSeparator/>
      </w:r>
    </w:p>
  </w:endnote>
  <w:endnote w:type="continuationNotice" w:id="1">
    <w:p w14:paraId="75156162" w14:textId="77777777" w:rsidR="002D5533" w:rsidRDefault="002D5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030929"/>
      <w:docPartObj>
        <w:docPartGallery w:val="Page Numbers (Bottom of Page)"/>
        <w:docPartUnique/>
      </w:docPartObj>
    </w:sdtPr>
    <w:sdtEndPr/>
    <w:sdtContent>
      <w:p w14:paraId="5BA6C9EB" w14:textId="11E1AA43" w:rsidR="00502CC9" w:rsidRPr="00CD336F" w:rsidRDefault="00502CC9" w:rsidP="00502CC9">
        <w:pPr>
          <w:tabs>
            <w:tab w:val="center" w:pos="4536"/>
            <w:tab w:val="left" w:pos="6330"/>
            <w:tab w:val="right" w:pos="9072"/>
            <w:tab w:val="right" w:pos="9864"/>
          </w:tabs>
          <w:spacing w:after="0"/>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NPK, a.s. - Interoperabilita - zavedení a rozvoj služeb elektronického zdravotnictví</w:t>
        </w:r>
        <w:r w:rsidRPr="00D14929">
          <w:rPr>
            <w:rFonts w:ascii="Calibri" w:eastAsia="Calibri" w:hAnsi="Calibri" w:cs="Calibri"/>
            <w:sz w:val="18"/>
            <w:szCs w:val="18"/>
            <w:lang w:eastAsia="en-US"/>
          </w:rPr>
          <w:t>, reg.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Projekt „NPK, a.s. - Interoperabilita - zavedení a rozvoj služeb elektronického zdravotnictví“ je financován Evropskou unií - NextGenerationEU.</w:t>
        </w:r>
      </w:p>
      <w:p w14:paraId="3B71084A" w14:textId="078FB94A" w:rsidR="00502CC9" w:rsidRPr="00502CC9" w:rsidRDefault="00502CC9" w:rsidP="00502CC9">
        <w:pPr>
          <w:tabs>
            <w:tab w:val="center" w:pos="4536"/>
            <w:tab w:val="left" w:pos="6330"/>
            <w:tab w:val="right" w:pos="9072"/>
            <w:tab w:val="right" w:pos="9864"/>
          </w:tabs>
          <w:spacing w:after="0"/>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NPK, a.s. - eHealth - rozvoj elektronických služeb v oblasti zdravotnictví</w:t>
        </w:r>
        <w:r>
          <w:rPr>
            <w:rFonts w:ascii="Calibri" w:eastAsia="Calibri" w:hAnsi="Calibri" w:cs="Calibri"/>
            <w:sz w:val="18"/>
            <w:szCs w:val="18"/>
            <w:lang w:eastAsia="en-US"/>
          </w:rPr>
          <w:t xml:space="preserve">, reg.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Projekt „NPK, a.s. - eHealth - rozvoj elektronických služeb v oblasti zdravotnictví“ je spolufinancován Evropskou unií.</w:t>
        </w:r>
        <w:r>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E1E6" w14:textId="77777777" w:rsidR="00090E38" w:rsidRDefault="00090E38" w:rsidP="00401355">
      <w:pPr>
        <w:spacing w:after="0" w:line="240" w:lineRule="auto"/>
      </w:pPr>
      <w:r>
        <w:separator/>
      </w:r>
    </w:p>
  </w:footnote>
  <w:footnote w:type="continuationSeparator" w:id="0">
    <w:p w14:paraId="44820419" w14:textId="77777777" w:rsidR="00090E38" w:rsidRDefault="00090E38" w:rsidP="00401355">
      <w:pPr>
        <w:spacing w:after="0" w:line="240" w:lineRule="auto"/>
      </w:pPr>
      <w:r>
        <w:continuationSeparator/>
      </w:r>
    </w:p>
  </w:footnote>
  <w:footnote w:type="continuationNotice" w:id="1">
    <w:p w14:paraId="2BEA1339" w14:textId="77777777" w:rsidR="002D5533" w:rsidRDefault="002D55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F310C" w14:textId="77777777" w:rsidR="0025358A" w:rsidRDefault="0025358A" w:rsidP="008B2ED7">
    <w:pPr>
      <w:spacing w:after="0"/>
    </w:pPr>
    <w:r>
      <w:rPr>
        <w:noProof/>
      </w:rPr>
      <w:drawing>
        <wp:anchor distT="0" distB="0" distL="114300" distR="114300" simplePos="0" relativeHeight="251665408" behindDoc="0" locked="0" layoutInCell="1" allowOverlap="1" wp14:anchorId="38C1F181" wp14:editId="035AB616">
          <wp:simplePos x="0" y="0"/>
          <wp:positionH relativeFrom="column">
            <wp:posOffset>-277223</wp:posOffset>
          </wp:positionH>
          <wp:positionV relativeFrom="paragraph">
            <wp:posOffset>-358956</wp:posOffset>
          </wp:positionV>
          <wp:extent cx="4644390" cy="921385"/>
          <wp:effectExtent l="0" t="0" r="3810" b="12065"/>
          <wp:wrapNone/>
          <wp:docPr id="11097641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64439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2B24">
      <w:t xml:space="preserve"> </w:t>
    </w:r>
  </w:p>
  <w:p w14:paraId="59B9676F" w14:textId="77777777" w:rsidR="0025358A" w:rsidRDefault="0025358A" w:rsidP="007E670B">
    <w:pPr>
      <w:spacing w:after="0"/>
      <w:jc w:val="center"/>
    </w:pPr>
    <w:r>
      <w:rPr>
        <w:noProof/>
      </w:rPr>
      <w:drawing>
        <wp:anchor distT="0" distB="0" distL="114300" distR="114300" simplePos="0" relativeHeight="251663360" behindDoc="0" locked="0" layoutInCell="1" allowOverlap="1" wp14:anchorId="4A0823C3" wp14:editId="3550CB67">
          <wp:simplePos x="0" y="0"/>
          <wp:positionH relativeFrom="margin">
            <wp:posOffset>4756687</wp:posOffset>
          </wp:positionH>
          <wp:positionV relativeFrom="paragraph">
            <wp:posOffset>459349</wp:posOffset>
          </wp:positionV>
          <wp:extent cx="1676400" cy="448945"/>
          <wp:effectExtent l="0" t="0" r="0" b="8255"/>
          <wp:wrapNone/>
          <wp:docPr id="1518309520" name="Obrázek 151830952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79806E8" wp14:editId="1E4DDFFB">
          <wp:simplePos x="0" y="0"/>
          <wp:positionH relativeFrom="column">
            <wp:posOffset>-248871</wp:posOffset>
          </wp:positionH>
          <wp:positionV relativeFrom="paragraph">
            <wp:posOffset>397168</wp:posOffset>
          </wp:positionV>
          <wp:extent cx="4827905" cy="582930"/>
          <wp:effectExtent l="0" t="0" r="0" b="7620"/>
          <wp:wrapNone/>
          <wp:docPr id="6622851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27905" cy="582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25.4pt;height:35.2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1A72E1"/>
    <w:multiLevelType w:val="hybridMultilevel"/>
    <w:tmpl w:val="1124142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D31C4D"/>
    <w:multiLevelType w:val="hybridMultilevel"/>
    <w:tmpl w:val="1F9063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705704D"/>
    <w:multiLevelType w:val="hybridMultilevel"/>
    <w:tmpl w:val="071657FC"/>
    <w:lvl w:ilvl="0" w:tplc="7E4A3F62">
      <w:numFmt w:val="bullet"/>
      <w:lvlText w:val="•"/>
      <w:lvlJc w:val="left"/>
      <w:pPr>
        <w:ind w:left="1077" w:hanging="360"/>
      </w:pPr>
      <w:rPr>
        <w:rFonts w:ascii="Calibri" w:eastAsia="Times New Roman" w:hAnsi="Calibri" w:cs="Calibri"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2"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3"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4" w15:restartNumberingAfterBreak="0">
    <w:nsid w:val="3AFF07F2"/>
    <w:multiLevelType w:val="hybridMultilevel"/>
    <w:tmpl w:val="94027F9E"/>
    <w:lvl w:ilvl="0" w:tplc="728CFE7A">
      <w:start w:val="1"/>
      <w:numFmt w:val="decimal"/>
      <w:lvlText w:val="%1."/>
      <w:lvlJc w:val="left"/>
      <w:pPr>
        <w:ind w:left="360" w:hanging="360"/>
      </w:pPr>
      <w:rPr>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6"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9944D90"/>
    <w:multiLevelType w:val="hybridMultilevel"/>
    <w:tmpl w:val="5BE60E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AE55591"/>
    <w:multiLevelType w:val="multilevel"/>
    <w:tmpl w:val="3CF02F3C"/>
    <w:lvl w:ilvl="0">
      <w:start w:val="1"/>
      <w:numFmt w:val="decimal"/>
      <w:lvlText w:val="%1."/>
      <w:lvlJc w:val="left"/>
      <w:pPr>
        <w:ind w:left="360" w:hanging="360"/>
      </w:pPr>
      <w:rPr>
        <w:rFonts w:hint="default"/>
        <w:sz w:val="22"/>
        <w:szCs w:val="22"/>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4"/>
  </w:num>
  <w:num w:numId="2" w16cid:durableId="1739135583">
    <w:abstractNumId w:val="37"/>
  </w:num>
  <w:num w:numId="3" w16cid:durableId="1503936356">
    <w:abstractNumId w:val="32"/>
  </w:num>
  <w:num w:numId="4" w16cid:durableId="1870485331">
    <w:abstractNumId w:val="30"/>
  </w:num>
  <w:num w:numId="5" w16cid:durableId="668945143">
    <w:abstractNumId w:val="7"/>
  </w:num>
  <w:num w:numId="6" w16cid:durableId="2146922896">
    <w:abstractNumId w:val="38"/>
  </w:num>
  <w:num w:numId="7" w16cid:durableId="673648168">
    <w:abstractNumId w:val="20"/>
  </w:num>
  <w:num w:numId="8" w16cid:durableId="2029061362">
    <w:abstractNumId w:val="8"/>
  </w:num>
  <w:num w:numId="9" w16cid:durableId="1011299019">
    <w:abstractNumId w:val="19"/>
  </w:num>
  <w:num w:numId="10" w16cid:durableId="1552770794">
    <w:abstractNumId w:val="17"/>
  </w:num>
  <w:num w:numId="11" w16cid:durableId="89737261">
    <w:abstractNumId w:val="31"/>
  </w:num>
  <w:num w:numId="12" w16cid:durableId="620645308">
    <w:abstractNumId w:val="26"/>
  </w:num>
  <w:num w:numId="13" w16cid:durableId="327102716">
    <w:abstractNumId w:val="16"/>
  </w:num>
  <w:num w:numId="14" w16cid:durableId="475072913">
    <w:abstractNumId w:val="14"/>
  </w:num>
  <w:num w:numId="15" w16cid:durableId="561138510">
    <w:abstractNumId w:val="28"/>
  </w:num>
  <w:num w:numId="16" w16cid:durableId="1564680103">
    <w:abstractNumId w:val="27"/>
  </w:num>
  <w:num w:numId="17" w16cid:durableId="1420250024">
    <w:abstractNumId w:val="23"/>
  </w:num>
  <w:num w:numId="18" w16cid:durableId="1167210548">
    <w:abstractNumId w:val="6"/>
  </w:num>
  <w:num w:numId="19" w16cid:durableId="1578053145">
    <w:abstractNumId w:val="40"/>
  </w:num>
  <w:num w:numId="20" w16cid:durableId="640690179">
    <w:abstractNumId w:val="10"/>
  </w:num>
  <w:num w:numId="21" w16cid:durableId="2038432929">
    <w:abstractNumId w:val="41"/>
  </w:num>
  <w:num w:numId="22" w16cid:durableId="1626959486">
    <w:abstractNumId w:val="13"/>
  </w:num>
  <w:num w:numId="23" w16cid:durableId="1622150182">
    <w:abstractNumId w:val="9"/>
  </w:num>
  <w:num w:numId="24" w16cid:durableId="2125683674">
    <w:abstractNumId w:val="24"/>
  </w:num>
  <w:num w:numId="25" w16cid:durableId="518007107">
    <w:abstractNumId w:val="1"/>
  </w:num>
  <w:num w:numId="26" w16cid:durableId="1895191151">
    <w:abstractNumId w:val="39"/>
  </w:num>
  <w:num w:numId="27" w16cid:durableId="750082912">
    <w:abstractNumId w:val="11"/>
  </w:num>
  <w:num w:numId="28" w16cid:durableId="652178020">
    <w:abstractNumId w:val="35"/>
  </w:num>
  <w:num w:numId="29" w16cid:durableId="372122038">
    <w:abstractNumId w:val="2"/>
  </w:num>
  <w:num w:numId="30" w16cid:durableId="949238260">
    <w:abstractNumId w:val="29"/>
  </w:num>
  <w:num w:numId="31" w16cid:durableId="444155777">
    <w:abstractNumId w:val="25"/>
  </w:num>
  <w:num w:numId="32" w16cid:durableId="661202682">
    <w:abstractNumId w:val="0"/>
  </w:num>
  <w:num w:numId="33" w16cid:durableId="1338312391">
    <w:abstractNumId w:val="15"/>
  </w:num>
  <w:num w:numId="34" w16cid:durableId="1990817500">
    <w:abstractNumId w:val="3"/>
  </w:num>
  <w:num w:numId="35" w16cid:durableId="814298672">
    <w:abstractNumId w:val="18"/>
  </w:num>
  <w:num w:numId="36" w16cid:durableId="266353770">
    <w:abstractNumId w:val="34"/>
  </w:num>
  <w:num w:numId="37" w16cid:durableId="633683131">
    <w:abstractNumId w:val="22"/>
  </w:num>
  <w:num w:numId="38" w16cid:durableId="803542197">
    <w:abstractNumId w:val="36"/>
  </w:num>
  <w:num w:numId="39" w16cid:durableId="164174723">
    <w:abstractNumId w:val="21"/>
  </w:num>
  <w:num w:numId="40" w16cid:durableId="1880848622">
    <w:abstractNumId w:val="12"/>
  </w:num>
  <w:num w:numId="41" w16cid:durableId="1545100282">
    <w:abstractNumId w:val="33"/>
  </w:num>
  <w:num w:numId="42" w16cid:durableId="1749769619">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0E38"/>
    <w:rsid w:val="000917E4"/>
    <w:rsid w:val="00094A2A"/>
    <w:rsid w:val="00095115"/>
    <w:rsid w:val="000A36A1"/>
    <w:rsid w:val="000A691F"/>
    <w:rsid w:val="000A7EF8"/>
    <w:rsid w:val="000B2FAF"/>
    <w:rsid w:val="000B61B2"/>
    <w:rsid w:val="000C0DD0"/>
    <w:rsid w:val="000C4A80"/>
    <w:rsid w:val="000C642E"/>
    <w:rsid w:val="000C77CD"/>
    <w:rsid w:val="000D1C47"/>
    <w:rsid w:val="000D676F"/>
    <w:rsid w:val="000E0C84"/>
    <w:rsid w:val="000E103A"/>
    <w:rsid w:val="000E2621"/>
    <w:rsid w:val="000E3EEE"/>
    <w:rsid w:val="000E6888"/>
    <w:rsid w:val="000F1E80"/>
    <w:rsid w:val="000F7F26"/>
    <w:rsid w:val="00102616"/>
    <w:rsid w:val="00105ADF"/>
    <w:rsid w:val="00106F37"/>
    <w:rsid w:val="00110E47"/>
    <w:rsid w:val="001140FF"/>
    <w:rsid w:val="00115A28"/>
    <w:rsid w:val="0012321B"/>
    <w:rsid w:val="00124DB2"/>
    <w:rsid w:val="001272B8"/>
    <w:rsid w:val="00136DB7"/>
    <w:rsid w:val="00137440"/>
    <w:rsid w:val="001376F3"/>
    <w:rsid w:val="00141482"/>
    <w:rsid w:val="00143FF4"/>
    <w:rsid w:val="001441AD"/>
    <w:rsid w:val="0014731F"/>
    <w:rsid w:val="001536EE"/>
    <w:rsid w:val="00155CB2"/>
    <w:rsid w:val="00156CE6"/>
    <w:rsid w:val="00160E43"/>
    <w:rsid w:val="001616F5"/>
    <w:rsid w:val="0016185C"/>
    <w:rsid w:val="001633AF"/>
    <w:rsid w:val="00165BD0"/>
    <w:rsid w:val="001714F5"/>
    <w:rsid w:val="001742BB"/>
    <w:rsid w:val="00176F7D"/>
    <w:rsid w:val="00177C9A"/>
    <w:rsid w:val="00183B0F"/>
    <w:rsid w:val="00184B7A"/>
    <w:rsid w:val="0018523D"/>
    <w:rsid w:val="00185360"/>
    <w:rsid w:val="00186E5E"/>
    <w:rsid w:val="00196D34"/>
    <w:rsid w:val="001A5A4F"/>
    <w:rsid w:val="001A62A2"/>
    <w:rsid w:val="001B09E1"/>
    <w:rsid w:val="001B69C6"/>
    <w:rsid w:val="001C0696"/>
    <w:rsid w:val="001C5468"/>
    <w:rsid w:val="001C7E2E"/>
    <w:rsid w:val="001D4B1E"/>
    <w:rsid w:val="001D633B"/>
    <w:rsid w:val="001E4174"/>
    <w:rsid w:val="001E5416"/>
    <w:rsid w:val="001F1AB6"/>
    <w:rsid w:val="00201B10"/>
    <w:rsid w:val="002026BC"/>
    <w:rsid w:val="002038DB"/>
    <w:rsid w:val="00204333"/>
    <w:rsid w:val="002043AC"/>
    <w:rsid w:val="002048FB"/>
    <w:rsid w:val="0020707F"/>
    <w:rsid w:val="0021306B"/>
    <w:rsid w:val="00216B26"/>
    <w:rsid w:val="00216C78"/>
    <w:rsid w:val="00217056"/>
    <w:rsid w:val="00223CC3"/>
    <w:rsid w:val="00224094"/>
    <w:rsid w:val="00224E62"/>
    <w:rsid w:val="00227D6C"/>
    <w:rsid w:val="002377E2"/>
    <w:rsid w:val="00240875"/>
    <w:rsid w:val="00241E82"/>
    <w:rsid w:val="0024684A"/>
    <w:rsid w:val="002527F3"/>
    <w:rsid w:val="0025293A"/>
    <w:rsid w:val="0025358A"/>
    <w:rsid w:val="0025678A"/>
    <w:rsid w:val="00265C23"/>
    <w:rsid w:val="002669C6"/>
    <w:rsid w:val="00271949"/>
    <w:rsid w:val="00275102"/>
    <w:rsid w:val="00275747"/>
    <w:rsid w:val="002771D7"/>
    <w:rsid w:val="002923D5"/>
    <w:rsid w:val="0029570A"/>
    <w:rsid w:val="002A16FB"/>
    <w:rsid w:val="002A2607"/>
    <w:rsid w:val="002A2D80"/>
    <w:rsid w:val="002A5C7E"/>
    <w:rsid w:val="002A665E"/>
    <w:rsid w:val="002B3816"/>
    <w:rsid w:val="002B4DF5"/>
    <w:rsid w:val="002B533D"/>
    <w:rsid w:val="002B61EE"/>
    <w:rsid w:val="002B78CF"/>
    <w:rsid w:val="002C5802"/>
    <w:rsid w:val="002C6373"/>
    <w:rsid w:val="002C7A70"/>
    <w:rsid w:val="002D0A23"/>
    <w:rsid w:val="002D1686"/>
    <w:rsid w:val="002D220D"/>
    <w:rsid w:val="002D300F"/>
    <w:rsid w:val="002D5533"/>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B346C"/>
    <w:rsid w:val="003C518C"/>
    <w:rsid w:val="003D2E73"/>
    <w:rsid w:val="003D3CB5"/>
    <w:rsid w:val="003D67D0"/>
    <w:rsid w:val="003E1F9E"/>
    <w:rsid w:val="003E7194"/>
    <w:rsid w:val="003E7CDC"/>
    <w:rsid w:val="003F3995"/>
    <w:rsid w:val="00401355"/>
    <w:rsid w:val="00403F0B"/>
    <w:rsid w:val="0041138B"/>
    <w:rsid w:val="00414918"/>
    <w:rsid w:val="00414E80"/>
    <w:rsid w:val="004152B1"/>
    <w:rsid w:val="0041758E"/>
    <w:rsid w:val="004178FC"/>
    <w:rsid w:val="00420FB8"/>
    <w:rsid w:val="0042231E"/>
    <w:rsid w:val="00422C02"/>
    <w:rsid w:val="00425258"/>
    <w:rsid w:val="00426861"/>
    <w:rsid w:val="0043760B"/>
    <w:rsid w:val="00441056"/>
    <w:rsid w:val="0044348F"/>
    <w:rsid w:val="00446CB2"/>
    <w:rsid w:val="00451159"/>
    <w:rsid w:val="00452697"/>
    <w:rsid w:val="00452F3C"/>
    <w:rsid w:val="00466624"/>
    <w:rsid w:val="00467117"/>
    <w:rsid w:val="00472FE7"/>
    <w:rsid w:val="00480FF6"/>
    <w:rsid w:val="004821C6"/>
    <w:rsid w:val="00486674"/>
    <w:rsid w:val="004903FC"/>
    <w:rsid w:val="00490411"/>
    <w:rsid w:val="004911F2"/>
    <w:rsid w:val="00491AE7"/>
    <w:rsid w:val="00496AAE"/>
    <w:rsid w:val="004A077E"/>
    <w:rsid w:val="004A0BAF"/>
    <w:rsid w:val="004A1D9D"/>
    <w:rsid w:val="004A4DDF"/>
    <w:rsid w:val="004B069A"/>
    <w:rsid w:val="004B11E2"/>
    <w:rsid w:val="004C4D84"/>
    <w:rsid w:val="004D06B1"/>
    <w:rsid w:val="004D0AA9"/>
    <w:rsid w:val="004D13D0"/>
    <w:rsid w:val="004D7917"/>
    <w:rsid w:val="004E2B29"/>
    <w:rsid w:val="004E483F"/>
    <w:rsid w:val="004E76A5"/>
    <w:rsid w:val="004F44BC"/>
    <w:rsid w:val="00502050"/>
    <w:rsid w:val="00502CC9"/>
    <w:rsid w:val="00506038"/>
    <w:rsid w:val="005065E3"/>
    <w:rsid w:val="00507596"/>
    <w:rsid w:val="005108CE"/>
    <w:rsid w:val="00510A0C"/>
    <w:rsid w:val="00514AF9"/>
    <w:rsid w:val="00520139"/>
    <w:rsid w:val="00522D8C"/>
    <w:rsid w:val="00523C34"/>
    <w:rsid w:val="005319DB"/>
    <w:rsid w:val="00531B35"/>
    <w:rsid w:val="00532926"/>
    <w:rsid w:val="0053321D"/>
    <w:rsid w:val="00535A98"/>
    <w:rsid w:val="00535F9E"/>
    <w:rsid w:val="00536880"/>
    <w:rsid w:val="00540D63"/>
    <w:rsid w:val="00541817"/>
    <w:rsid w:val="00541E81"/>
    <w:rsid w:val="00544602"/>
    <w:rsid w:val="005556EB"/>
    <w:rsid w:val="00555F72"/>
    <w:rsid w:val="00556A17"/>
    <w:rsid w:val="00557193"/>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E1C7C"/>
    <w:rsid w:val="005E5D6F"/>
    <w:rsid w:val="005F3588"/>
    <w:rsid w:val="00600717"/>
    <w:rsid w:val="00603B63"/>
    <w:rsid w:val="00605F50"/>
    <w:rsid w:val="00606388"/>
    <w:rsid w:val="00606DA8"/>
    <w:rsid w:val="00610655"/>
    <w:rsid w:val="00611E40"/>
    <w:rsid w:val="00613308"/>
    <w:rsid w:val="00613AE5"/>
    <w:rsid w:val="00616E4A"/>
    <w:rsid w:val="0062335D"/>
    <w:rsid w:val="00633A78"/>
    <w:rsid w:val="006340B6"/>
    <w:rsid w:val="00640A13"/>
    <w:rsid w:val="00641A01"/>
    <w:rsid w:val="00642711"/>
    <w:rsid w:val="00646339"/>
    <w:rsid w:val="0064699E"/>
    <w:rsid w:val="00651661"/>
    <w:rsid w:val="00655709"/>
    <w:rsid w:val="006577F1"/>
    <w:rsid w:val="00657EB4"/>
    <w:rsid w:val="00666930"/>
    <w:rsid w:val="00671D96"/>
    <w:rsid w:val="00672363"/>
    <w:rsid w:val="006748F6"/>
    <w:rsid w:val="0067560F"/>
    <w:rsid w:val="006823D3"/>
    <w:rsid w:val="00683922"/>
    <w:rsid w:val="0068487D"/>
    <w:rsid w:val="006869C6"/>
    <w:rsid w:val="00690884"/>
    <w:rsid w:val="00695AA6"/>
    <w:rsid w:val="0069694E"/>
    <w:rsid w:val="00696BC8"/>
    <w:rsid w:val="006A0C86"/>
    <w:rsid w:val="006A3906"/>
    <w:rsid w:val="006A4306"/>
    <w:rsid w:val="006A6FAD"/>
    <w:rsid w:val="006B7C9D"/>
    <w:rsid w:val="006C0D3A"/>
    <w:rsid w:val="006C1952"/>
    <w:rsid w:val="006C1D85"/>
    <w:rsid w:val="006C6B36"/>
    <w:rsid w:val="006C6BD0"/>
    <w:rsid w:val="006D3B74"/>
    <w:rsid w:val="006D71D3"/>
    <w:rsid w:val="006E0DF6"/>
    <w:rsid w:val="006E37FE"/>
    <w:rsid w:val="006E62B1"/>
    <w:rsid w:val="006E74C8"/>
    <w:rsid w:val="006F01B5"/>
    <w:rsid w:val="006F64B7"/>
    <w:rsid w:val="0070211D"/>
    <w:rsid w:val="00702DCC"/>
    <w:rsid w:val="007109B7"/>
    <w:rsid w:val="007141AF"/>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86889"/>
    <w:rsid w:val="00795742"/>
    <w:rsid w:val="00796B6F"/>
    <w:rsid w:val="007A0C5D"/>
    <w:rsid w:val="007A7196"/>
    <w:rsid w:val="007B2229"/>
    <w:rsid w:val="007C5DB2"/>
    <w:rsid w:val="007C65A0"/>
    <w:rsid w:val="007C7A85"/>
    <w:rsid w:val="007C7F01"/>
    <w:rsid w:val="007D03A8"/>
    <w:rsid w:val="007D1F73"/>
    <w:rsid w:val="007D28B5"/>
    <w:rsid w:val="007D3944"/>
    <w:rsid w:val="007E02B8"/>
    <w:rsid w:val="007E16A9"/>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4BC5"/>
    <w:rsid w:val="008364A0"/>
    <w:rsid w:val="008376F5"/>
    <w:rsid w:val="00837FDD"/>
    <w:rsid w:val="00842BE8"/>
    <w:rsid w:val="008431CA"/>
    <w:rsid w:val="0084327C"/>
    <w:rsid w:val="00843837"/>
    <w:rsid w:val="0084485A"/>
    <w:rsid w:val="00844A39"/>
    <w:rsid w:val="008527E2"/>
    <w:rsid w:val="008529C6"/>
    <w:rsid w:val="00857815"/>
    <w:rsid w:val="00857D09"/>
    <w:rsid w:val="00862216"/>
    <w:rsid w:val="00863042"/>
    <w:rsid w:val="00863EC7"/>
    <w:rsid w:val="008645AE"/>
    <w:rsid w:val="0086656D"/>
    <w:rsid w:val="008677B1"/>
    <w:rsid w:val="00874C51"/>
    <w:rsid w:val="008766DA"/>
    <w:rsid w:val="00880949"/>
    <w:rsid w:val="00883A2D"/>
    <w:rsid w:val="0088513B"/>
    <w:rsid w:val="008851AA"/>
    <w:rsid w:val="00892ED8"/>
    <w:rsid w:val="008952A1"/>
    <w:rsid w:val="008958C8"/>
    <w:rsid w:val="00897F75"/>
    <w:rsid w:val="008A0A8C"/>
    <w:rsid w:val="008A2743"/>
    <w:rsid w:val="008A4528"/>
    <w:rsid w:val="008A6FEC"/>
    <w:rsid w:val="008A77DE"/>
    <w:rsid w:val="008B119E"/>
    <w:rsid w:val="008B1F32"/>
    <w:rsid w:val="008B2ED7"/>
    <w:rsid w:val="008B75AB"/>
    <w:rsid w:val="008C0063"/>
    <w:rsid w:val="008C5F35"/>
    <w:rsid w:val="008D1637"/>
    <w:rsid w:val="008D23CD"/>
    <w:rsid w:val="008D6115"/>
    <w:rsid w:val="008D62B5"/>
    <w:rsid w:val="008D69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65BE9"/>
    <w:rsid w:val="009844F9"/>
    <w:rsid w:val="00984F5A"/>
    <w:rsid w:val="00990AA2"/>
    <w:rsid w:val="00994C84"/>
    <w:rsid w:val="009961BF"/>
    <w:rsid w:val="009A31DE"/>
    <w:rsid w:val="009A5E76"/>
    <w:rsid w:val="009B1090"/>
    <w:rsid w:val="009B2FE8"/>
    <w:rsid w:val="009B634D"/>
    <w:rsid w:val="009C088C"/>
    <w:rsid w:val="009C19C2"/>
    <w:rsid w:val="009E32ED"/>
    <w:rsid w:val="009E3B75"/>
    <w:rsid w:val="009E592C"/>
    <w:rsid w:val="009E6F35"/>
    <w:rsid w:val="009E7AA3"/>
    <w:rsid w:val="009F2373"/>
    <w:rsid w:val="009F4A51"/>
    <w:rsid w:val="009F6D94"/>
    <w:rsid w:val="00A0209D"/>
    <w:rsid w:val="00A07D20"/>
    <w:rsid w:val="00A12A6A"/>
    <w:rsid w:val="00A14FAF"/>
    <w:rsid w:val="00A20782"/>
    <w:rsid w:val="00A20CED"/>
    <w:rsid w:val="00A23200"/>
    <w:rsid w:val="00A23402"/>
    <w:rsid w:val="00A35148"/>
    <w:rsid w:val="00A355BA"/>
    <w:rsid w:val="00A366D5"/>
    <w:rsid w:val="00A36AF2"/>
    <w:rsid w:val="00A420FF"/>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9301B"/>
    <w:rsid w:val="00AA5E80"/>
    <w:rsid w:val="00AA7B64"/>
    <w:rsid w:val="00AB0356"/>
    <w:rsid w:val="00AB134D"/>
    <w:rsid w:val="00AB69A6"/>
    <w:rsid w:val="00AC04F8"/>
    <w:rsid w:val="00AC589A"/>
    <w:rsid w:val="00AD5D0B"/>
    <w:rsid w:val="00AD66B2"/>
    <w:rsid w:val="00AE087E"/>
    <w:rsid w:val="00AE7AB9"/>
    <w:rsid w:val="00AE7EC9"/>
    <w:rsid w:val="00AF52F0"/>
    <w:rsid w:val="00AF6E31"/>
    <w:rsid w:val="00B0084F"/>
    <w:rsid w:val="00B04407"/>
    <w:rsid w:val="00B0493C"/>
    <w:rsid w:val="00B04FFD"/>
    <w:rsid w:val="00B067C8"/>
    <w:rsid w:val="00B16E59"/>
    <w:rsid w:val="00B24F5F"/>
    <w:rsid w:val="00B260FE"/>
    <w:rsid w:val="00B27837"/>
    <w:rsid w:val="00B3356B"/>
    <w:rsid w:val="00B34EA6"/>
    <w:rsid w:val="00B36DFE"/>
    <w:rsid w:val="00B37033"/>
    <w:rsid w:val="00B37FB5"/>
    <w:rsid w:val="00B469CC"/>
    <w:rsid w:val="00B52C42"/>
    <w:rsid w:val="00B5322E"/>
    <w:rsid w:val="00B5653B"/>
    <w:rsid w:val="00B56924"/>
    <w:rsid w:val="00B60988"/>
    <w:rsid w:val="00B652E9"/>
    <w:rsid w:val="00B717DB"/>
    <w:rsid w:val="00B74C00"/>
    <w:rsid w:val="00B872C5"/>
    <w:rsid w:val="00B92203"/>
    <w:rsid w:val="00BA2B67"/>
    <w:rsid w:val="00BA3E13"/>
    <w:rsid w:val="00BB18EA"/>
    <w:rsid w:val="00BC0384"/>
    <w:rsid w:val="00BC043B"/>
    <w:rsid w:val="00BC0CBB"/>
    <w:rsid w:val="00BC2687"/>
    <w:rsid w:val="00BC7B67"/>
    <w:rsid w:val="00BD024B"/>
    <w:rsid w:val="00BE0E13"/>
    <w:rsid w:val="00BE12E8"/>
    <w:rsid w:val="00BE5576"/>
    <w:rsid w:val="00C06770"/>
    <w:rsid w:val="00C154A1"/>
    <w:rsid w:val="00C2120B"/>
    <w:rsid w:val="00C21AD4"/>
    <w:rsid w:val="00C231CB"/>
    <w:rsid w:val="00C23E7D"/>
    <w:rsid w:val="00C23FC2"/>
    <w:rsid w:val="00C242C4"/>
    <w:rsid w:val="00C2498D"/>
    <w:rsid w:val="00C30C00"/>
    <w:rsid w:val="00C32CD4"/>
    <w:rsid w:val="00C33B4F"/>
    <w:rsid w:val="00C4281A"/>
    <w:rsid w:val="00C5103B"/>
    <w:rsid w:val="00C5158F"/>
    <w:rsid w:val="00C5230D"/>
    <w:rsid w:val="00C52509"/>
    <w:rsid w:val="00C535CF"/>
    <w:rsid w:val="00C629A2"/>
    <w:rsid w:val="00C64EE3"/>
    <w:rsid w:val="00C65DF2"/>
    <w:rsid w:val="00C67452"/>
    <w:rsid w:val="00C71F81"/>
    <w:rsid w:val="00C76090"/>
    <w:rsid w:val="00C82249"/>
    <w:rsid w:val="00C872D2"/>
    <w:rsid w:val="00C87CD4"/>
    <w:rsid w:val="00C93B7D"/>
    <w:rsid w:val="00C95320"/>
    <w:rsid w:val="00C9770F"/>
    <w:rsid w:val="00CA0F88"/>
    <w:rsid w:val="00CA228B"/>
    <w:rsid w:val="00CB015E"/>
    <w:rsid w:val="00CB3D0B"/>
    <w:rsid w:val="00CB3EEB"/>
    <w:rsid w:val="00CB4AEB"/>
    <w:rsid w:val="00CC5297"/>
    <w:rsid w:val="00CC7553"/>
    <w:rsid w:val="00CD336F"/>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0067"/>
    <w:rsid w:val="00D40C4E"/>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73E2"/>
    <w:rsid w:val="00D80250"/>
    <w:rsid w:val="00D82167"/>
    <w:rsid w:val="00D831B2"/>
    <w:rsid w:val="00D84649"/>
    <w:rsid w:val="00D85EED"/>
    <w:rsid w:val="00D85F96"/>
    <w:rsid w:val="00D86CB6"/>
    <w:rsid w:val="00D87969"/>
    <w:rsid w:val="00D917A1"/>
    <w:rsid w:val="00D94311"/>
    <w:rsid w:val="00D94FAC"/>
    <w:rsid w:val="00D95D8C"/>
    <w:rsid w:val="00D96AD6"/>
    <w:rsid w:val="00D97E59"/>
    <w:rsid w:val="00DA0C60"/>
    <w:rsid w:val="00DA10B7"/>
    <w:rsid w:val="00DB3900"/>
    <w:rsid w:val="00DB5437"/>
    <w:rsid w:val="00DC00A9"/>
    <w:rsid w:val="00DC1937"/>
    <w:rsid w:val="00DC2159"/>
    <w:rsid w:val="00DC5683"/>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436F"/>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57599"/>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2675"/>
    <w:rsid w:val="00F9466B"/>
    <w:rsid w:val="00F9482F"/>
    <w:rsid w:val="00F96E93"/>
    <w:rsid w:val="00F96FC9"/>
    <w:rsid w:val="00F97BCF"/>
    <w:rsid w:val="00F97C15"/>
    <w:rsid w:val="00FA21BF"/>
    <w:rsid w:val="00FA313F"/>
    <w:rsid w:val="00FB1108"/>
    <w:rsid w:val="00FB28D4"/>
    <w:rsid w:val="00FB2E2F"/>
    <w:rsid w:val="00FB541C"/>
    <w:rsid w:val="00FB5ABA"/>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A8C7554"/>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2229"/>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177C9A"/>
    <w:pPr>
      <w:autoSpaceDE w:val="0"/>
      <w:autoSpaceDN w:val="0"/>
      <w:adjustRightInd w:val="0"/>
      <w:spacing w:after="0" w:line="240" w:lineRule="auto"/>
    </w:pPr>
    <w:rPr>
      <w:rFonts w:ascii="Calibri" w:hAnsi="Calibri" w:cs="Calibri"/>
      <w:color w:val="000000"/>
      <w:sz w:val="24"/>
      <w:szCs w:val="24"/>
      <w:lang w:bidi="he-IL"/>
    </w:rPr>
  </w:style>
  <w:style w:type="character" w:styleId="Nevyeenzmnka">
    <w:name w:val="Unresolved Mention"/>
    <w:basedOn w:val="Standardnpsmoodstavce"/>
    <w:uiPriority w:val="99"/>
    <w:semiHidden/>
    <w:unhideWhenUsed/>
    <w:rsid w:val="00452697"/>
    <w:rPr>
      <w:color w:val="605E5C"/>
      <w:shd w:val="clear" w:color="auto" w:fill="E1DFDD"/>
    </w:rPr>
  </w:style>
  <w:style w:type="character" w:customStyle="1" w:styleId="WW8Num4z0">
    <w:name w:val="WW8Num4z0"/>
    <w:rsid w:val="00CD336F"/>
    <w:rPr>
      <w:rFonts w:ascii="Courier New" w:hAnsi="Courier New" w:cs="Courier New"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marsik@nem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1.png@01DB895C.4D569CC0" TargetMode="External"/><Relationship Id="rId1" Type="http://schemas.openxmlformats.org/officeDocument/2006/relationships/image" Target="media/image2.png"/><Relationship Id="rId4"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240875"/>
    <w:rsid w:val="003151E7"/>
    <w:rsid w:val="003A4256"/>
    <w:rsid w:val="00430625"/>
    <w:rsid w:val="004C4370"/>
    <w:rsid w:val="005740E3"/>
    <w:rsid w:val="00610655"/>
    <w:rsid w:val="00657E73"/>
    <w:rsid w:val="00660E62"/>
    <w:rsid w:val="007541CE"/>
    <w:rsid w:val="0079389A"/>
    <w:rsid w:val="007A2407"/>
    <w:rsid w:val="00880949"/>
    <w:rsid w:val="009870AD"/>
    <w:rsid w:val="00A72D65"/>
    <w:rsid w:val="00A902EA"/>
    <w:rsid w:val="00B36DFE"/>
    <w:rsid w:val="00C42913"/>
    <w:rsid w:val="00CE1919"/>
    <w:rsid w:val="00D86CB6"/>
    <w:rsid w:val="00DC00A9"/>
    <w:rsid w:val="00DC5683"/>
    <w:rsid w:val="00E82364"/>
    <w:rsid w:val="00FA016B"/>
    <w:rsid w:val="00FB1108"/>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795143472F50D48A49A1B14C2A9D11B" ma:contentTypeVersion="11" ma:contentTypeDescription="Vytvoří nový dokument" ma:contentTypeScope="" ma:versionID="0c4d0d675601a7afcdf2f5d0829ead7f">
  <xsd:schema xmlns:xsd="http://www.w3.org/2001/XMLSchema" xmlns:xs="http://www.w3.org/2001/XMLSchema" xmlns:p="http://schemas.microsoft.com/office/2006/metadata/properties" xmlns:ns2="40215365-f8f2-4df2-9a83-fa0ad301835e" xmlns:ns3="1058a90e-d573-443c-a2f4-69d6d70723ac" targetNamespace="http://schemas.microsoft.com/office/2006/metadata/properties" ma:root="true" ma:fieldsID="a506a7a47aa482bd9af7a69415d7743c" ns2:_="" ns3:_="">
    <xsd:import namespace="40215365-f8f2-4df2-9a83-fa0ad301835e"/>
    <xsd:import namespace="1058a90e-d573-443c-a2f4-69d6d70723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15365-f8f2-4df2-9a83-fa0ad3018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25f97ba-fae4-49b6-bebe-d10d78bcaa3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58a90e-d573-443c-a2f4-69d6d70723a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bab1c3-d024-4f90-8ef7-b5a239c08fcd}" ma:internalName="TaxCatchAll" ma:showField="CatchAllData" ma:web="1058a90e-d573-443c-a2f4-69d6d7072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215365-f8f2-4df2-9a83-fa0ad301835e">
      <Terms xmlns="http://schemas.microsoft.com/office/infopath/2007/PartnerControls"/>
    </lcf76f155ced4ddcb4097134ff3c332f>
    <TaxCatchAll xmlns="1058a90e-d573-443c-a2f4-69d6d70723ac" xsi:nil="true"/>
  </documentManagement>
</p:properties>
</file>

<file path=customXml/itemProps1.xml><?xml version="1.0" encoding="utf-8"?>
<ds:datastoreItem xmlns:ds="http://schemas.openxmlformats.org/officeDocument/2006/customXml" ds:itemID="{945E3FC5-F0C7-4D9E-A783-A27D4D3FA80E}">
  <ds:schemaRefs>
    <ds:schemaRef ds:uri="http://schemas.microsoft.com/sharepoint/v3/contenttype/forms"/>
  </ds:schemaRefs>
</ds:datastoreItem>
</file>

<file path=customXml/itemProps2.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3.xml><?xml version="1.0" encoding="utf-8"?>
<ds:datastoreItem xmlns:ds="http://schemas.openxmlformats.org/officeDocument/2006/customXml" ds:itemID="{75E8B671-4B67-4E99-84AC-6232B1257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15365-f8f2-4df2-9a83-fa0ad301835e"/>
    <ds:schemaRef ds:uri="1058a90e-d573-443c-a2f4-69d6d707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0B32E8-A7B5-40FE-A856-668499222C27}">
  <ds:schemaRefs>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40215365-f8f2-4df2-9a83-fa0ad301835e"/>
    <ds:schemaRef ds:uri="1058a90e-d573-443c-a2f4-69d6d70723ac"/>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24</Pages>
  <Words>6812</Words>
  <Characters>40193</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112</cp:revision>
  <cp:lastPrinted>2018-03-20T09:42:00Z</cp:lastPrinted>
  <dcterms:created xsi:type="dcterms:W3CDTF">2025-01-22T10:04:00Z</dcterms:created>
  <dcterms:modified xsi:type="dcterms:W3CDTF">2025-11-03T21:43:00Z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0x0101000795143472F50D48A49A1B14C2A9D11B</vt:lpwstr>
  </property>
  <property fmtid="{D5CDD505-2E9C-101B-9397-08002B2CF9AE}" pid="3" name="MediaServiceImageTags">
    <vt:lpwstr/>
  </property>
</Properties>
</file>